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3276C">
      <w:pPr>
        <w:widowControl w:val="0"/>
        <w:spacing w:before="0" w:beforeAutospacing="0" w:after="0" w:afterAutospacing="0" w:line="592" w:lineRule="exact"/>
        <w:jc w:val="both"/>
        <w:rPr>
          <w:rStyle w:val="4"/>
          <w:rFonts w:hint="default" w:ascii="仿宋_GB2312" w:hAnsi="仿宋_GB2312" w:eastAsia="仿宋_GB2312" w:cs="仿宋_GB2312"/>
          <w:b w:val="0"/>
          <w:color w:val="000000"/>
          <w:kern w:val="2"/>
          <w:sz w:val="32"/>
          <w:szCs w:val="32"/>
          <w:lang w:val="en-US" w:eastAsia="zh-CN" w:bidi="ar-SA"/>
        </w:rPr>
      </w:pPr>
      <w:r>
        <w:rPr>
          <w:rStyle w:val="4"/>
          <w:rFonts w:hint="eastAsia" w:ascii="仿宋_GB2312" w:hAnsi="仿宋_GB2312" w:eastAsia="仿宋_GB2312" w:cs="仿宋_GB2312"/>
          <w:b w:val="0"/>
          <w:color w:val="000000"/>
          <w:kern w:val="2"/>
          <w:sz w:val="32"/>
          <w:szCs w:val="32"/>
          <w:lang w:val="en-US" w:eastAsia="zh-CN" w:bidi="ar-SA"/>
        </w:rPr>
        <w:t>附件</w:t>
      </w:r>
      <w:r>
        <w:rPr>
          <w:rStyle w:val="4"/>
          <w:rFonts w:hint="eastAsia" w:ascii="仿宋_GB2312" w:hAnsi="仿宋_GB2312" w:cs="仿宋_GB2312"/>
          <w:b w:val="0"/>
          <w:color w:val="000000"/>
          <w:kern w:val="2"/>
          <w:sz w:val="32"/>
          <w:szCs w:val="32"/>
          <w:lang w:val="en-US" w:eastAsia="zh-CN" w:bidi="ar-SA"/>
        </w:rPr>
        <w:t>:</w:t>
      </w:r>
    </w:p>
    <w:p w14:paraId="1BD3CE10">
      <w:pPr>
        <w:keepNext w:val="0"/>
        <w:keepLines w:val="0"/>
        <w:pageBreakBefore w:val="0"/>
        <w:widowControl/>
        <w:kinsoku/>
        <w:wordWrap/>
        <w:overflowPunct/>
        <w:topLinePunct w:val="0"/>
        <w:autoSpaceDE/>
        <w:autoSpaceDN/>
        <w:bidi w:val="0"/>
        <w:adjustRightInd/>
        <w:snapToGrid/>
        <w:spacing w:before="313" w:beforeLines="100" w:beforeAutospacing="0" w:after="0" w:afterAutospacing="0" w:line="660" w:lineRule="exact"/>
        <w:jc w:val="center"/>
        <w:textAlignment w:val="auto"/>
        <w:rPr>
          <w:rStyle w:val="4"/>
          <w:rFonts w:hint="eastAsia" w:ascii="方正小标宋简体" w:hAnsi="方正小标宋简体" w:eastAsia="方正小标宋简体" w:cs="方正小标宋简体"/>
          <w:b w:val="0"/>
          <w:kern w:val="0"/>
          <w:sz w:val="44"/>
          <w:szCs w:val="44"/>
          <w:lang w:val="en-US" w:eastAsia="zh-CN" w:bidi="ar-SA"/>
        </w:rPr>
      </w:pPr>
      <w:r>
        <w:rPr>
          <w:rStyle w:val="4"/>
          <w:rFonts w:hint="eastAsia" w:ascii="方正小标宋简体" w:hAnsi="方正小标宋简体" w:eastAsia="方正小标宋简体" w:cs="方正小标宋简体"/>
          <w:b w:val="0"/>
          <w:kern w:val="2"/>
          <w:sz w:val="44"/>
          <w:szCs w:val="44"/>
          <w:lang w:val="en-US" w:eastAsia="zh-CN" w:bidi="ar-SA"/>
        </w:rPr>
        <w:t>防雷安全领域重大事故隐患判定标准</w:t>
      </w:r>
    </w:p>
    <w:p w14:paraId="634E0683">
      <w:pPr>
        <w:widowControl/>
        <w:spacing w:before="0" w:beforeAutospacing="0" w:after="0" w:afterAutospacing="0" w:line="660" w:lineRule="exact"/>
        <w:jc w:val="center"/>
        <w:rPr>
          <w:rStyle w:val="4"/>
          <w:rFonts w:hint="eastAsia" w:ascii="方正小标宋简体" w:hAnsi="方正小标宋简体" w:eastAsia="方正小标宋简体" w:cs="方正小标宋简体"/>
          <w:b w:val="0"/>
          <w:kern w:val="0"/>
          <w:sz w:val="36"/>
          <w:szCs w:val="36"/>
          <w:lang w:val="en-US" w:eastAsia="zh-CN" w:bidi="ar-SA"/>
        </w:rPr>
      </w:pPr>
      <w:r>
        <w:rPr>
          <w:rStyle w:val="4"/>
          <w:rFonts w:hint="eastAsia" w:ascii="方正小标宋简体" w:hAnsi="方正小标宋简体" w:eastAsia="方正小标宋简体" w:cs="方正小标宋简体"/>
          <w:b w:val="0"/>
          <w:kern w:val="2"/>
          <w:sz w:val="36"/>
          <w:szCs w:val="36"/>
          <w:lang w:val="en-US" w:eastAsia="zh-CN" w:bidi="ar-SA"/>
        </w:rPr>
        <w:t>（试行）</w:t>
      </w:r>
    </w:p>
    <w:p w14:paraId="391E71D7">
      <w:pPr>
        <w:widowControl/>
        <w:spacing w:before="0" w:beforeAutospacing="0" w:after="0" w:afterAutospacing="0" w:line="316" w:lineRule="exact"/>
        <w:jc w:val="center"/>
        <w:rPr>
          <w:rStyle w:val="4"/>
          <w:rFonts w:hint="eastAsia" w:ascii="宋体" w:hAnsi="宋体" w:eastAsia="宋体" w:cs="宋体"/>
          <w:kern w:val="0"/>
          <w:sz w:val="32"/>
          <w:szCs w:val="32"/>
          <w:lang w:val="en-US" w:eastAsia="zh-CN" w:bidi="ar-SA"/>
        </w:rPr>
      </w:pPr>
      <w:bookmarkStart w:id="0" w:name="_GoBack"/>
      <w:bookmarkEnd w:id="0"/>
    </w:p>
    <w:p w14:paraId="61A85B68">
      <w:pPr>
        <w:widowControl w:val="0"/>
        <w:spacing w:before="0" w:beforeAutospacing="0" w:after="0" w:afterAutospacing="0" w:line="592" w:lineRule="exact"/>
        <w:ind w:firstLine="640" w:firstLineChars="200"/>
        <w:jc w:val="both"/>
        <w:rPr>
          <w:rStyle w:val="4"/>
          <w:rFonts w:hint="eastAsia" w:ascii="仿宋_GB2312" w:hAnsi="仿宋_GB2312" w:eastAsia="仿宋_GB2312" w:cs="仿宋_GB2312"/>
          <w:b w:val="0"/>
          <w:color w:val="000000"/>
          <w:kern w:val="0"/>
          <w:sz w:val="32"/>
          <w:szCs w:val="32"/>
          <w:lang w:val="en-US" w:eastAsia="zh-CN" w:bidi="ar-SA"/>
        </w:rPr>
      </w:pPr>
      <w:r>
        <w:rPr>
          <w:rStyle w:val="4"/>
          <w:rFonts w:hint="eastAsia" w:ascii="仿宋_GB2312" w:hAnsi="仿宋_GB2312" w:eastAsia="仿宋_GB2312" w:cs="仿宋_GB2312"/>
          <w:b w:val="0"/>
          <w:color w:val="000000"/>
          <w:kern w:val="2"/>
          <w:sz w:val="32"/>
          <w:szCs w:val="32"/>
          <w:lang w:val="en-US" w:eastAsia="zh-CN" w:bidi="ar-SA"/>
        </w:rPr>
        <w:t>根据《中华人民共和国安全生产法》《中华人民共和国气象法》《气象灾害防御条例》《防雷减灾管理办法》《雷电防护装置检测资质管理办法》《雷电防护装置设计审核和竣工验收规定》等有关法律法规和规章，制定防雷安全领域重大事故隐患判定标准。</w:t>
      </w:r>
    </w:p>
    <w:p w14:paraId="27285688">
      <w:pPr>
        <w:widowControl w:val="0"/>
        <w:shd w:val="clear" w:color="auto" w:fill="FFFFFF"/>
        <w:spacing w:line="592" w:lineRule="exact"/>
        <w:ind w:firstLine="640" w:firstLineChars="200"/>
        <w:textAlignment w:val="baseline"/>
        <w:rPr>
          <w:rStyle w:val="4"/>
          <w:rFonts w:hint="eastAsia" w:ascii="黑体" w:hAnsi="黑体" w:eastAsia="黑体" w:cs="仿宋_GB2312"/>
          <w:b w:val="0"/>
          <w:color w:val="000000"/>
          <w:kern w:val="0"/>
          <w:sz w:val="32"/>
          <w:szCs w:val="32"/>
        </w:rPr>
      </w:pPr>
      <w:r>
        <w:rPr>
          <w:rStyle w:val="4"/>
          <w:rFonts w:hint="eastAsia" w:ascii="黑体" w:hAnsi="黑体" w:eastAsia="黑体" w:cs="仿宋_GB2312"/>
          <w:b w:val="0"/>
          <w:color w:val="000000"/>
          <w:kern w:val="0"/>
          <w:sz w:val="32"/>
          <w:szCs w:val="32"/>
        </w:rPr>
        <w:t>一、适用范围</w:t>
      </w:r>
    </w:p>
    <w:p w14:paraId="60614E4D">
      <w:pPr>
        <w:shd w:val="clear" w:color="auto" w:fill="FFFFFF"/>
        <w:spacing w:line="592" w:lineRule="exact"/>
        <w:ind w:firstLine="640" w:firstLineChars="200"/>
        <w:textAlignment w:val="baseline"/>
        <w:rPr>
          <w:rStyle w:val="4"/>
          <w:rFonts w:hint="eastAsia" w:ascii="仿宋_GB2312" w:hAnsi="仿宋_GB2312" w:eastAsia="仿宋_GB2312" w:cs="仿宋_GB2312"/>
          <w:b w:val="0"/>
          <w:color w:val="000000"/>
          <w:kern w:val="0"/>
          <w:sz w:val="32"/>
          <w:szCs w:val="32"/>
        </w:rPr>
      </w:pPr>
      <w:r>
        <w:rPr>
          <w:rStyle w:val="4"/>
          <w:rFonts w:hint="eastAsia" w:ascii="仿宋_GB2312" w:hAnsi="仿宋_GB2312" w:eastAsia="仿宋_GB2312" w:cs="仿宋_GB2312"/>
          <w:b w:val="0"/>
          <w:bCs w:val="0"/>
          <w:color w:val="000000"/>
          <w:kern w:val="0"/>
          <w:sz w:val="32"/>
          <w:szCs w:val="32"/>
        </w:rPr>
        <w:t>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w:t>
      </w:r>
      <w:r>
        <w:rPr>
          <w:rStyle w:val="4"/>
          <w:rFonts w:hint="eastAsia" w:ascii="仿宋_GB2312" w:hAnsi="仿宋_GB2312" w:eastAsia="仿宋_GB2312" w:cs="仿宋_GB2312"/>
          <w:b w:val="0"/>
          <w:color w:val="000000"/>
          <w:kern w:val="0"/>
          <w:sz w:val="32"/>
          <w:szCs w:val="32"/>
        </w:rPr>
        <w:t>。</w:t>
      </w:r>
    </w:p>
    <w:p w14:paraId="61BC8325">
      <w:pPr>
        <w:widowControl w:val="0"/>
        <w:shd w:val="clear" w:color="auto" w:fill="FFFFFF"/>
        <w:spacing w:line="592" w:lineRule="exact"/>
        <w:ind w:firstLine="640" w:firstLineChars="200"/>
        <w:textAlignment w:val="baseline"/>
        <w:rPr>
          <w:rStyle w:val="4"/>
          <w:rFonts w:hint="eastAsia" w:ascii="黑体" w:hAnsi="黑体" w:eastAsia="黑体" w:cs="仿宋_GB2312"/>
          <w:b w:val="0"/>
          <w:color w:val="000000"/>
          <w:kern w:val="0"/>
          <w:sz w:val="32"/>
          <w:szCs w:val="32"/>
        </w:rPr>
      </w:pPr>
      <w:r>
        <w:rPr>
          <w:rStyle w:val="4"/>
          <w:rFonts w:hint="eastAsia" w:ascii="黑体" w:hAnsi="黑体" w:eastAsia="黑体" w:cs="仿宋_GB2312"/>
          <w:b w:val="0"/>
          <w:color w:val="000000"/>
          <w:kern w:val="0"/>
          <w:sz w:val="32"/>
          <w:szCs w:val="32"/>
        </w:rPr>
        <w:t>二、防雷安全领域重大事故隐患判定标准</w:t>
      </w:r>
    </w:p>
    <w:p w14:paraId="194410BA">
      <w:pPr>
        <w:widowControl w:val="0"/>
        <w:spacing w:before="0" w:beforeAutospacing="0" w:after="0" w:afterAutospacing="0" w:line="592" w:lineRule="exact"/>
        <w:ind w:firstLine="640" w:firstLineChars="200"/>
        <w:jc w:val="both"/>
        <w:rPr>
          <w:rStyle w:val="4"/>
          <w:rFonts w:ascii="仿宋_GB2312" w:hAnsi="仿宋_GB2312" w:eastAsia="仿宋_GB2312" w:cs="仿宋_GB2312"/>
          <w:b w:val="0"/>
          <w:color w:val="000000"/>
          <w:kern w:val="0"/>
          <w:sz w:val="32"/>
          <w:szCs w:val="32"/>
          <w:lang w:val="en-US" w:eastAsia="zh-CN" w:bidi="ar-SA"/>
        </w:rPr>
      </w:pPr>
      <w:r>
        <w:rPr>
          <w:rStyle w:val="4"/>
          <w:rFonts w:hint="eastAsia" w:ascii="仿宋_GB2312" w:hAnsi="仿宋_GB2312" w:eastAsia="仿宋_GB2312" w:cs="仿宋_GB2312"/>
          <w:b w:val="0"/>
          <w:color w:val="000000"/>
          <w:kern w:val="2"/>
          <w:sz w:val="32"/>
          <w:szCs w:val="32"/>
          <w:lang w:val="en-US" w:eastAsia="zh-CN" w:bidi="ar-SA"/>
        </w:rPr>
        <w:t>（一）未将防雷安全纳入本单位安全生产责任体系（包括从主要负责人到一线员工的全员安全生产岗位责任清单、风险分级管控制度、事故隐患排查治理制度和事故应急救援预案等制度规定）的。</w:t>
      </w:r>
    </w:p>
    <w:p w14:paraId="43B7548E">
      <w:pPr>
        <w:widowControl w:val="0"/>
        <w:spacing w:before="0" w:beforeAutospacing="0" w:after="0" w:afterAutospacing="0" w:line="592" w:lineRule="exact"/>
        <w:ind w:firstLine="640" w:firstLineChars="200"/>
        <w:jc w:val="both"/>
        <w:rPr>
          <w:rStyle w:val="4"/>
          <w:rFonts w:hint="eastAsia" w:ascii="仿宋_GB2312" w:hAnsi="仿宋_GB2312" w:eastAsia="仿宋_GB2312" w:cs="仿宋_GB2312"/>
          <w:b w:val="0"/>
          <w:color w:val="000000"/>
          <w:kern w:val="0"/>
          <w:sz w:val="32"/>
          <w:szCs w:val="32"/>
          <w:lang w:val="en-US" w:eastAsia="zh-CN" w:bidi="ar-SA"/>
        </w:rPr>
      </w:pPr>
      <w:r>
        <w:rPr>
          <w:rStyle w:val="4"/>
          <w:rFonts w:hint="eastAsia" w:ascii="仿宋_GB2312" w:hAnsi="仿宋_GB2312" w:eastAsia="仿宋_GB2312" w:cs="仿宋_GB2312"/>
          <w:b w:val="0"/>
          <w:color w:val="000000"/>
          <w:kern w:val="2"/>
          <w:sz w:val="32"/>
          <w:szCs w:val="32"/>
          <w:lang w:val="en-US" w:eastAsia="zh-CN" w:bidi="ar-SA"/>
        </w:rPr>
        <w:t>（二）在生产经营活动中未落实防雷安全责任制度和强制性标准的。</w:t>
      </w:r>
    </w:p>
    <w:p w14:paraId="3A26D66E">
      <w:pPr>
        <w:widowControl w:val="0"/>
        <w:spacing w:before="0" w:beforeAutospacing="0" w:after="0" w:afterAutospacing="0" w:line="592" w:lineRule="exact"/>
        <w:ind w:firstLine="640" w:firstLineChars="200"/>
        <w:jc w:val="both"/>
        <w:rPr>
          <w:rStyle w:val="4"/>
          <w:rFonts w:hint="eastAsia" w:ascii="仿宋_GB2312" w:hAnsi="仿宋_GB2312" w:eastAsia="仿宋_GB2312" w:cs="仿宋_GB2312"/>
          <w:b w:val="0"/>
          <w:color w:val="000000"/>
          <w:kern w:val="0"/>
          <w:sz w:val="32"/>
          <w:szCs w:val="32"/>
          <w:lang w:val="en-US" w:eastAsia="zh-CN" w:bidi="ar-SA"/>
        </w:rPr>
      </w:pPr>
      <w:r>
        <w:rPr>
          <w:rStyle w:val="4"/>
          <w:rFonts w:hint="eastAsia" w:ascii="仿宋_GB2312" w:hAnsi="仿宋_GB2312" w:eastAsia="仿宋_GB2312" w:cs="仿宋_GB2312"/>
          <w:b w:val="0"/>
          <w:color w:val="000000"/>
          <w:kern w:val="2"/>
          <w:sz w:val="32"/>
          <w:szCs w:val="32"/>
          <w:lang w:val="en-US" w:eastAsia="zh-CN" w:bidi="ar-SA"/>
        </w:rPr>
        <w:t>（三）雷电防护装置未经设计审核或者设计审核不合格施工的；未经竣工验收或者竣工验收不合格交付使用的。</w:t>
      </w:r>
    </w:p>
    <w:p w14:paraId="3A4875ED">
      <w:pPr>
        <w:widowControl w:val="0"/>
        <w:spacing w:before="0" w:beforeAutospacing="0" w:after="0" w:afterAutospacing="0" w:line="592" w:lineRule="exact"/>
        <w:ind w:firstLine="640" w:firstLineChars="200"/>
        <w:jc w:val="both"/>
        <w:rPr>
          <w:rStyle w:val="4"/>
          <w:rFonts w:hint="eastAsia" w:ascii="仿宋_GB2312" w:hAnsi="仿宋_GB2312" w:eastAsia="仿宋_GB2312" w:cs="仿宋_GB2312"/>
          <w:b w:val="0"/>
          <w:bCs/>
          <w:color w:val="000000"/>
          <w:kern w:val="0"/>
          <w:sz w:val="32"/>
          <w:szCs w:val="32"/>
          <w:lang w:val="en-US" w:eastAsia="zh-CN" w:bidi="ar-SA"/>
        </w:rPr>
      </w:pPr>
      <w:r>
        <w:rPr>
          <w:rStyle w:val="4"/>
          <w:rFonts w:hint="eastAsia" w:ascii="仿宋_GB2312" w:hAnsi="仿宋_GB2312" w:eastAsia="仿宋_GB2312" w:cs="仿宋_GB2312"/>
          <w:b w:val="0"/>
          <w:bCs/>
          <w:color w:val="000000"/>
          <w:kern w:val="2"/>
          <w:sz w:val="32"/>
          <w:szCs w:val="32"/>
          <w:lang w:val="en-US" w:eastAsia="zh-CN" w:bidi="ar-SA"/>
        </w:rPr>
        <w:t>（四）在雷电防护装置设计、施工中弄虚作假的。</w:t>
      </w:r>
    </w:p>
    <w:p w14:paraId="170EA754">
      <w:pPr>
        <w:widowControl w:val="0"/>
        <w:spacing w:before="0" w:beforeAutospacing="0" w:after="0" w:afterAutospacing="0" w:line="592" w:lineRule="exact"/>
        <w:ind w:firstLine="640" w:firstLineChars="200"/>
        <w:jc w:val="both"/>
        <w:rPr>
          <w:rStyle w:val="4"/>
          <w:rFonts w:hint="eastAsia" w:ascii="仿宋_GB2312" w:hAnsi="仿宋_GB2312" w:eastAsia="仿宋_GB2312" w:cs="仿宋_GB2312"/>
          <w:b w:val="0"/>
          <w:color w:val="000000"/>
          <w:kern w:val="0"/>
          <w:sz w:val="32"/>
          <w:szCs w:val="32"/>
          <w:lang w:val="en-US" w:eastAsia="zh-CN" w:bidi="ar-SA"/>
        </w:rPr>
      </w:pPr>
      <w:r>
        <w:rPr>
          <w:rStyle w:val="4"/>
          <w:rFonts w:hint="eastAsia" w:ascii="仿宋_GB2312" w:hAnsi="仿宋_GB2312" w:eastAsia="仿宋_GB2312" w:cs="仿宋_GB2312"/>
          <w:b w:val="0"/>
          <w:color w:val="000000"/>
          <w:kern w:val="2"/>
          <w:sz w:val="32"/>
          <w:szCs w:val="32"/>
          <w:lang w:val="en-US" w:eastAsia="zh-CN" w:bidi="ar-SA"/>
        </w:rPr>
        <w:t>（五）未按国家有关标准采取雷电防护措施的；雷电防护装置失效的。</w:t>
      </w:r>
    </w:p>
    <w:p w14:paraId="32556D0F">
      <w:pPr>
        <w:widowControl w:val="0"/>
        <w:spacing w:before="0" w:beforeAutospacing="0" w:after="0" w:afterAutospacing="0" w:line="592" w:lineRule="exact"/>
        <w:ind w:firstLine="640" w:firstLineChars="200"/>
        <w:jc w:val="both"/>
        <w:rPr>
          <w:rStyle w:val="4"/>
          <w:rFonts w:hint="eastAsia" w:ascii="仿宋_GB2312" w:hAnsi="仿宋_GB2312" w:eastAsia="仿宋_GB2312" w:cs="仿宋_GB2312"/>
          <w:b w:val="0"/>
          <w:color w:val="000000"/>
          <w:kern w:val="0"/>
          <w:sz w:val="32"/>
          <w:szCs w:val="32"/>
          <w:lang w:val="en-US" w:eastAsia="zh-CN" w:bidi="ar-SA"/>
        </w:rPr>
      </w:pPr>
      <w:r>
        <w:rPr>
          <w:rStyle w:val="4"/>
          <w:rFonts w:hint="eastAsia" w:ascii="仿宋_GB2312" w:hAnsi="仿宋_GB2312" w:eastAsia="仿宋_GB2312" w:cs="仿宋_GB2312"/>
          <w:b w:val="0"/>
          <w:color w:val="000000"/>
          <w:kern w:val="2"/>
          <w:sz w:val="32"/>
          <w:szCs w:val="32"/>
          <w:lang w:val="en-US" w:eastAsia="zh-CN" w:bidi="ar-SA"/>
        </w:rPr>
        <w:t>（六）未执行雷电防护装置定期检测制度，或经检测不合格而未按规定整改的。</w:t>
      </w:r>
    </w:p>
    <w:p w14:paraId="404F5F76">
      <w:pPr>
        <w:widowControl w:val="0"/>
        <w:spacing w:before="0" w:beforeAutospacing="0" w:after="0" w:afterAutospacing="0" w:line="592" w:lineRule="exact"/>
        <w:ind w:firstLine="640" w:firstLineChars="200"/>
        <w:jc w:val="both"/>
        <w:rPr>
          <w:rStyle w:val="4"/>
          <w:rFonts w:hint="default" w:ascii="仿宋_GB2312" w:hAnsi="仿宋_GB2312" w:eastAsia="仿宋_GB2312" w:cs="仿宋_GB2312"/>
          <w:b w:val="0"/>
          <w:color w:val="000000"/>
          <w:kern w:val="0"/>
          <w:sz w:val="32"/>
          <w:szCs w:val="32"/>
          <w:lang w:val="en-US" w:eastAsia="zh-CN" w:bidi="ar-SA"/>
        </w:rPr>
      </w:pPr>
      <w:r>
        <w:rPr>
          <w:rStyle w:val="4"/>
          <w:rFonts w:hint="eastAsia" w:ascii="仿宋_GB2312" w:hAnsi="仿宋_GB2312" w:eastAsia="仿宋_GB2312" w:cs="仿宋_GB2312"/>
          <w:b w:val="0"/>
          <w:color w:val="000000"/>
          <w:kern w:val="2"/>
          <w:sz w:val="32"/>
          <w:szCs w:val="32"/>
          <w:lang w:val="en-US" w:eastAsia="zh-CN" w:bidi="ar-SA"/>
        </w:rPr>
        <w:t>（七）委托低于相应资质等级的雷电防护装置检测单位对其进行定期检测的。</w:t>
      </w:r>
    </w:p>
    <w:p w14:paraId="1EFCD0FC">
      <w:pPr>
        <w:widowControl w:val="0"/>
        <w:shd w:val="clear" w:color="auto" w:fill="FFFFFF"/>
        <w:spacing w:line="592" w:lineRule="exact"/>
        <w:ind w:firstLine="640" w:firstLineChars="200"/>
        <w:textAlignment w:val="baseline"/>
        <w:rPr>
          <w:rStyle w:val="4"/>
          <w:rFonts w:hint="eastAsia" w:ascii="黑体" w:hAnsi="黑体" w:eastAsia="黑体" w:cs="仿宋_GB2312"/>
          <w:b w:val="0"/>
          <w:color w:val="000000"/>
          <w:kern w:val="0"/>
          <w:sz w:val="32"/>
          <w:szCs w:val="32"/>
        </w:rPr>
      </w:pPr>
      <w:r>
        <w:rPr>
          <w:rStyle w:val="4"/>
          <w:rFonts w:hint="eastAsia" w:ascii="黑体" w:hAnsi="黑体" w:eastAsia="黑体" w:cs="仿宋_GB2312"/>
          <w:b w:val="0"/>
          <w:color w:val="000000"/>
          <w:kern w:val="0"/>
          <w:sz w:val="32"/>
          <w:szCs w:val="32"/>
        </w:rPr>
        <w:t>三、标准的解释</w:t>
      </w:r>
    </w:p>
    <w:p w14:paraId="39DF7AA1">
      <w:pPr>
        <w:widowControl w:val="0"/>
        <w:shd w:val="clear" w:color="auto" w:fill="auto"/>
        <w:spacing w:before="0" w:beforeAutospacing="0" w:after="0" w:afterAutospacing="0" w:line="592" w:lineRule="exact"/>
        <w:ind w:firstLine="640" w:firstLineChars="200"/>
        <w:jc w:val="both"/>
        <w:textAlignment w:val="auto"/>
        <w:rPr>
          <w:rStyle w:val="4"/>
          <w:rFonts w:hint="eastAsia" w:ascii="仿宋_GB2312" w:hAnsi="仿宋_GB2312" w:eastAsia="仿宋_GB2312" w:cs="仿宋_GB2312"/>
          <w:b w:val="0"/>
          <w:color w:val="000000"/>
          <w:kern w:val="0"/>
          <w:sz w:val="32"/>
          <w:szCs w:val="32"/>
          <w:lang w:val="en-US" w:eastAsia="zh-CN" w:bidi="ar-SA"/>
        </w:rPr>
      </w:pPr>
      <w:r>
        <w:rPr>
          <w:rStyle w:val="4"/>
          <w:rFonts w:hint="eastAsia" w:ascii="仿宋_GB2312" w:hAnsi="仿宋_GB2312" w:eastAsia="仿宋_GB2312" w:cs="仿宋_GB2312"/>
          <w:b w:val="0"/>
          <w:color w:val="000000"/>
          <w:kern w:val="2"/>
          <w:sz w:val="32"/>
          <w:szCs w:val="32"/>
          <w:lang w:val="en-US" w:eastAsia="zh-CN" w:bidi="ar-SA"/>
        </w:rPr>
        <w:t>本判定标准由中国气象局政策法规司负责解释。</w:t>
      </w:r>
    </w:p>
    <w:p w14:paraId="0C5E955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eastAsia="zh-CN"/>
        </w:rPr>
      </w:pPr>
    </w:p>
    <w:p w14:paraId="3B362D1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eastAsia="zh-CN"/>
        </w:rPr>
      </w:pPr>
    </w:p>
    <w:p w14:paraId="7A961AD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34100"/>
    <w:rsid w:val="4CFF36B0"/>
    <w:rsid w:val="6AA1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588</Characters>
  <Lines>0</Lines>
  <Paragraphs>0</Paragraphs>
  <TotalTime>0</TotalTime>
  <ScaleCrop>false</ScaleCrop>
  <LinksUpToDate>false</LinksUpToDate>
  <CharactersWithSpaces>588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2025-01-13T07:49:00Z</dcterms:created>
  <dc:creator>Administrator</dc:creator>
  <cp:lastModifiedBy>五台气象</cp:lastModifiedBy>
  <dcterms:modified xsi:type="dcterms:W3CDTF">2025-01-17T01:30:27Z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eyJoZGlkIjoiMjU3NDAyNjY4MmRhODg5ZmZhMzZmNTdmNGQzNTQ1ZDciLCJ1c2VySWQiOiIzODIxNTI5NzUifQ==</vt:lpwstr>
  </property>
  <property fmtid="{D5CDD505-2E9C-101B-9397-08002B2CF9AE}" pid="4" name="ICV">
    <vt:lpwstr>C83ECBBDD3254D5AAA5ADF428B19D539_12</vt:lpwstr>
  </property>
</Properties>
</file>