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五审管函〔202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〕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五台县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行政审批服务管理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山西嘉泽纸业有限公司年产十万吨绿色环保包装材料项目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山西嘉泽纸业有限公司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你公司关于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山西嘉泽纸业有限公司年产十万吨绿色环保包装材料项目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环境影响报告表(以下简称〈报告表〉)的报批申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请》收悉。经研究，现批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公司拟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建年产十万吨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绿色环保包装材料生产线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。项目位于五台县沟南乡迎宾路8号，地理坐标：E113°14′18.322″，N38°41′45.422″。主要建设内容为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新建生产车间、研磨车间、原料库房、办公楼及职工宿舍、食堂等其它辅助设施。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项目总投资21600万元，其中环保投资60万元。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在严格落实《报告表》提出的各项污染防治、生态保护措施和本批复要求的前提下，我局原则同意《报告表》中所列的建设项目的性质、规模、地点、采用的生产工艺以及拟采取的环境保护措施。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7" w:h="16839"/>
          <w:pgMar w:top="1977" w:right="1757" w:bottom="1417" w:left="1757" w:header="851" w:footer="992" w:gutter="0"/>
          <w:pgNumType w:fmt="numberInDash" w:start="2"/>
          <w:cols w:space="720" w:num="1"/>
          <w:docGrid w:type="lines" w:linePitch="312" w:charSpace="0"/>
        </w:sectPr>
      </w:pPr>
    </w:p>
    <w:p>
      <w:pPr>
        <w:keepNext w:val="0"/>
        <w:keepLines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二、在项目设计、建设和运行管理中，要严格按照《报告表》的规定认真落实各项环境保护措施，重点做好以下工作：</w:t>
      </w:r>
    </w:p>
    <w:p>
      <w:pPr>
        <w:pStyle w:val="4"/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（一）严格执行国家现行产业政策和环保有关政策规定，并按标准的生产工艺、规模建设。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（二）严格落实废气防治措施。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施工期做好边界围挡、厂区地面、运输道路硬化清洁等工作，加强对裸露地面、物料、运输车辆的管理，禁止大风天气作业，减少扬尘污染。运输车辆密闭运输防止物料洒落，限速行驶严禁超载，进出厂区清洗车身。生产车间全封闭，地面进行硬化防渗处理。研磨车间出料口、投料机、破碎机、混料机上方分别设置集气罩，粉尘引入布袋除尘器处理后由排气筒排放。在密炼、造粒、熔融工段、印刷工段上方分别设置集气罩，废气经两级活性炭吸附工艺处理后由排气筒排出。</w:t>
      </w:r>
    </w:p>
    <w:p>
      <w:pPr>
        <w:pStyle w:val="4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（三）严格落实废水防治措施。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施工期冲洗废水沉淀后回用于厂区洒水抑尘，不得外排。生活污水排入化粪池进入五台县污水处理厂处理。冷却循环水定期补给不外排，印刷辊道冲洗废水处理后用于水性油墨稀释。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（四）严格落实噪声防治措施。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合理布置施工场地，安排施工时间，禁止夜间施工。优化设备选型，产噪设备合理布置，避免局部声级过高，加强对设备的维护保养,采取基础减振、消声、隔声、柔性连接等措施。做好厂区及周边绿化，削弱噪声对周边环境的影响。运营期厂界噪声须满足《工业企业厂界环境噪声排放标准》（GB12348-2008）中的2类标准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（五）严格落实固废防治措施。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下脚料、除尘灰回用于生产，废油墨桶定期回收。厂区设置垃圾桶，生活垃圾运至环卫部门指定地点处理。设置危废暂存间，废过滤棉、废活性炭、废矿物油暂存于危废暂存间，定期委托有资质的单位处置。</w:t>
      </w:r>
    </w:p>
    <w:p>
      <w:pPr>
        <w:keepNext w:val="0"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（六）严格执行各项环境风险防范措施。制定环境风险事故应急预案，提高环境风险防范意识与应急能力，定期开展环境风险应急演练，严格执行各项安全管理制度和风险防范措施，将事故风险降低到最小。</w:t>
      </w:r>
    </w:p>
    <w:p>
      <w:pPr>
        <w:keepNext w:val="0"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（七）本项目污染物排放总量指标为颗粒物0.835t/a、挥发性有机物0.254t/a,项目投产运行后须落实污染防治措施，污染物排放总量须控制在该指标内。</w:t>
      </w:r>
    </w:p>
    <w:p>
      <w:pPr>
        <w:keepNext w:val="0"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三、做好信息公开。在工程施工期间，应定期发布环境信息，建立畅通的公众参与平台，加强与周边公众的沟通，主动接受社会监督，并及时解决公众担忧的环境问题，满足</w:t>
      </w:r>
    </w:p>
    <w:p>
      <w:pPr>
        <w:pStyle w:val="4"/>
        <w:keepNext w:val="0"/>
        <w:pageBreakBefore w:val="0"/>
        <w:widowControl w:val="0"/>
        <w:tabs>
          <w:tab w:val="left" w:pos="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15" w:leftChars="0" w:hanging="15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公众合理的环境诉求。</w:t>
      </w:r>
    </w:p>
    <w:p>
      <w:pPr>
        <w:pStyle w:val="4"/>
        <w:keepNext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项目建设必须严格执行环境保护设施与主体工程同时设计、同时施工、同时投产使用的“三同时”制度，必须按法定程序实施竣工环境保护验收，必须将环保设施同主体 </w:t>
      </w:r>
    </w:p>
    <w:p>
      <w:pPr>
        <w:pStyle w:val="4"/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7" w:h="16839"/>
          <w:pgMar w:top="1977" w:right="1757" w:bottom="1417" w:left="1757" w:header="851" w:footer="992" w:gutter="0"/>
          <w:pgNumType w:fmt="numberInDash" w:start="2"/>
          <w:cols w:space="720" w:num="1"/>
          <w:docGrid w:type="lines" w:linePitch="312" w:charSpace="0"/>
        </w:sectPr>
      </w:pPr>
    </w:p>
    <w:p>
      <w:pPr>
        <w:pStyle w:val="4"/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程一体纳入项目安全设施设计中，并按照国家有关规定报经相关行业企业监管部门审查批准，需申领安全许可证的，必须按规定取得安全生产许可证。如项目的性质、建设规模、地点、采用的生产工艺或者防治污染、防止生态破坏的措施发生变动的，你公司应当重新报批建设项目环境影响评价文件。</w:t>
      </w:r>
    </w:p>
    <w:p>
      <w:pPr>
        <w:pStyle w:val="4"/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五、依据《山西省一枚印章管审批条例》《五台县相对集中行政许可权改革实施方案》，你公司应主动接受各级生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态环境行政主管部门的监督检查。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忻州市生态环境局五台分局负责项目现场环境监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管，确保各项环保措施按《报告表》及本批复要求落实到位。</w:t>
      </w:r>
    </w:p>
    <w:p>
      <w:pPr>
        <w:pStyle w:val="4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五台县行政审批服务管理局</w:t>
      </w:r>
    </w:p>
    <w:p>
      <w:pPr>
        <w:pStyle w:val="4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0" w:firstLineChars="15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2023年3月30日</w:t>
      </w:r>
    </w:p>
    <w:p>
      <w:pPr>
        <w:pStyle w:val="4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0" w:firstLineChars="15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</w:p>
    <w:p>
      <w:pPr>
        <w:pStyle w:val="4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0" w:firstLineChars="15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</w:p>
    <w:p>
      <w:pPr>
        <w:pStyle w:val="4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"/>
          <w:szCs w:val="2"/>
          <w:lang w:val="en-US" w:eastAsia="zh-CN"/>
        </w:rPr>
      </w:pPr>
      <w:r>
        <w:rPr>
          <w:sz w:val="2"/>
          <w:szCs w:val="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350520</wp:posOffset>
                </wp:positionV>
                <wp:extent cx="5293995" cy="11430"/>
                <wp:effectExtent l="0" t="9525" r="1905" b="1714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3995" cy="114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2pt;margin-top:27.6pt;height:0.9pt;width:416.85pt;z-index:251659264;mso-width-relative:page;mso-height-relative:page;" filled="f" stroked="t" coordsize="21600,21600" o:gfxdata="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rECitcAAAAI&#10;AQAADwAAAAAAAAABACAAAAAiAAAAZHJzL2Rvd25yZXYueG1sUEsBAhQAFAAAAAgAh07iQGcg3T/k&#10;AQAAqQMAAA4AAAAAAAAAAQAgAAAAJgEAAGRycy9lMm9Eb2MueG1sUEsFBgAAAAAGAAYAWQEAAHwF&#10;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20" w:right="191" w:rightChars="91" w:hanging="1120" w:hangingChars="400"/>
        <w:jc w:val="left"/>
        <w:textAlignment w:val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抄送：五台县人民政府办公室，忻州市生态环境局五台分局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五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台县应急管理局，五台县工业和信息化局，山西天鑫源环保科技有限公司。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999" w:leftChars="133" w:hanging="6720" w:hangingChars="2400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32385</wp:posOffset>
                </wp:positionV>
                <wp:extent cx="5248275" cy="952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5860" y="8430895"/>
                          <a:ext cx="5248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pt;margin-top:2.55pt;height:0.75pt;width:413.25pt;z-index:251661312;mso-width-relative:page;mso-height-relative:page;" filled="f" stroked="t" coordsize="21600,21600" o:gfxdata="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4d3I81QAAAAYBAAAPAAAAAAAAAAEA&#10;IAAAACIAAABkcnMvZG93bnJldi54bWxQSwECFAAUAAAACACHTuJARc8MxtkBAAByAwAADgAAAAAA&#10;AAABACAAAAAkAQAAZHJzL2Uyb0RvYy54bWxQSwUGAAAAAAYABgBZAQAAb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五台县行政审批服务管理局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10"/>
          <w:szCs w:val="1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</w:rPr>
        <w:t>202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u w:val="none"/>
        </w:rPr>
        <w:t>年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  <w:u w:val="none"/>
        </w:rPr>
        <w:t>日印发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</w:t>
      </w:r>
    </w:p>
    <w:p>
      <w:pPr>
        <w:pStyle w:val="4"/>
        <w:ind w:right="191" w:rightChars="91" w:firstLine="6720" w:firstLineChars="2400"/>
        <w:jc w:val="left"/>
        <w:rPr>
          <w:rFonts w:hint="eastAsia" w:eastAsia="仿宋"/>
          <w:lang w:val="en-US" w:eastAsia="zh-CN"/>
        </w:rPr>
        <w:sectPr>
          <w:footerReference r:id="rId4" w:type="default"/>
          <w:pgSz w:w="11907" w:h="16839"/>
          <w:pgMar w:top="1977" w:right="1757" w:bottom="1417" w:left="1757" w:header="851" w:footer="992" w:gutter="0"/>
          <w:pgNumType w:fmt="numberInDash" w:start="4"/>
          <w:cols w:space="720" w:num="1"/>
          <w:docGrid w:type="lines" w:linePitch="312" w:charSpace="0"/>
        </w:sectPr>
      </w:pPr>
      <w:r>
        <w:rPr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12700</wp:posOffset>
                </wp:positionV>
                <wp:extent cx="5343525" cy="762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pt;margin-top:1pt;height:0.6pt;width:420.75pt;z-index:251660288;mso-width-relative:page;mso-height-relative:page;" filled="f" stroked="t" coordsize="21600,21600" o:gfxdata="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acUEY1QAAAAYB&#10;AAAPAAAAAAAAAAEAIAAAACIAAABkcnMvZG93bnJldi54bWxQSwECFAAUAAAACACHTuJAFeqm/uUB&#10;AACqAwAADgAAAAAAAAABACAAAAAkAQAAZHJzL2Uyb0RvYy54bWxQSwUGAAAAAAYABgBZAQAAewUA&#10;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共印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8份</w:t>
      </w:r>
    </w:p>
    <w:p>
      <w:pPr>
        <w:pStyle w:val="4"/>
        <w:tabs>
          <w:tab w:val="left" w:pos="764"/>
        </w:tabs>
        <w:ind w:left="0" w:leftChars="0" w:firstLine="0" w:firstLineChars="0"/>
        <w:rPr>
          <w:rFonts w:hint="eastAsia" w:eastAsia="宋体"/>
          <w:lang w:eastAsia="zh-CN"/>
        </w:rPr>
      </w:pPr>
    </w:p>
    <w:p/>
    <w:p/>
    <w:p/>
    <w:p/>
    <w:sectPr>
      <w:footerReference r:id="rId5" w:type="default"/>
      <w:pgSz w:w="11907" w:h="16839"/>
      <w:pgMar w:top="1757" w:right="1757" w:bottom="1417" w:left="175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063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7555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555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5C8FB0"/>
    <w:multiLevelType w:val="singleLevel"/>
    <w:tmpl w:val="C55C8FB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57A86"/>
    <w:rsid w:val="038076D6"/>
    <w:rsid w:val="3FA673A9"/>
    <w:rsid w:val="53F57A86"/>
    <w:rsid w:val="59B0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tabs>
        <w:tab w:val="left" w:pos="7500"/>
      </w:tabs>
      <w:ind w:firstLine="420" w:firstLineChars="200"/>
    </w:pPr>
    <w:rPr>
      <w:sz w:val="21"/>
    </w:rPr>
  </w:style>
  <w:style w:type="paragraph" w:styleId="3">
    <w:name w:val="Body Text Indent"/>
    <w:basedOn w:val="1"/>
    <w:next w:val="1"/>
    <w:qFormat/>
    <w:uiPriority w:val="0"/>
    <w:pPr>
      <w:spacing w:line="440" w:lineRule="exact"/>
      <w:ind w:firstLine="560" w:firstLineChars="200"/>
    </w:pPr>
    <w:rPr>
      <w:rFonts w:eastAsia="仿宋_GB2312"/>
      <w:sz w:val="28"/>
    </w:rPr>
  </w:style>
  <w:style w:type="paragraph" w:styleId="4">
    <w:name w:val="Body Text"/>
    <w:basedOn w:val="1"/>
    <w:qFormat/>
    <w:uiPriority w:val="1"/>
    <w:pPr>
      <w:ind w:left="135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2023-03-28T02:03:00Z</dcterms:created>
  <dc:creator>刘艳飞</dc:creator>
  <cp:lastModifiedBy>张家诚</cp:lastModifiedBy>
  <cp:lastPrinted>2023-03-30T01:40:00Z</cp:lastPrinted>
  <dcterms:modified xsi:type="dcterms:W3CDTF">2023-03-30T06:44:17Z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