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五台县行政审批服务管理局</w:t>
      </w:r>
    </w:p>
    <w:p>
      <w:pPr>
        <w:jc w:val="center"/>
        <w:rPr>
          <w:rFonts w:hint="eastAsia"/>
          <w:b/>
          <w:bCs/>
          <w:sz w:val="32"/>
          <w:szCs w:val="40"/>
          <w:lang w:eastAsia="zh-CN"/>
        </w:rPr>
      </w:pPr>
      <w:r>
        <w:rPr>
          <w:rFonts w:hint="eastAsia"/>
          <w:b/>
          <w:bCs/>
          <w:sz w:val="32"/>
          <w:szCs w:val="40"/>
          <w:lang w:eastAsia="zh-CN"/>
        </w:rPr>
        <w:t>拟对五台县殡仪馆项目环境影响评价文件作出审批意见的公示</w:t>
      </w:r>
    </w:p>
    <w:tbl>
      <w:tblPr>
        <w:tblStyle w:val="4"/>
        <w:tblW w:w="15367"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89"/>
        <w:gridCol w:w="750"/>
        <w:gridCol w:w="1034"/>
        <w:gridCol w:w="1950"/>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719"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w:t>
            </w:r>
          </w:p>
        </w:tc>
        <w:tc>
          <w:tcPr>
            <w:tcW w:w="789"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建设地点</w:t>
            </w:r>
          </w:p>
        </w:tc>
        <w:tc>
          <w:tcPr>
            <w:tcW w:w="7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建设单位</w:t>
            </w:r>
          </w:p>
        </w:tc>
        <w:tc>
          <w:tcPr>
            <w:tcW w:w="103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环境影响评价机构</w:t>
            </w:r>
          </w:p>
        </w:tc>
        <w:tc>
          <w:tcPr>
            <w:tcW w:w="19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建设项目概况</w:t>
            </w:r>
          </w:p>
        </w:tc>
        <w:tc>
          <w:tcPr>
            <w:tcW w:w="10125"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19"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b w:val="0"/>
                <w:bCs w:val="0"/>
                <w:color w:val="auto"/>
                <w:sz w:val="21"/>
                <w:szCs w:val="21"/>
                <w:lang w:eastAsia="zh-CN"/>
              </w:rPr>
              <w:t>五台县殡仪馆项目</w:t>
            </w:r>
          </w:p>
        </w:tc>
        <w:tc>
          <w:tcPr>
            <w:tcW w:w="789"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五台县</w:t>
            </w:r>
            <w:r>
              <w:rPr>
                <w:rFonts w:hint="eastAsia" w:asciiTheme="minorEastAsia" w:hAnsiTheme="minorEastAsia" w:cstheme="minorEastAsia"/>
                <w:color w:val="auto"/>
                <w:sz w:val="21"/>
                <w:szCs w:val="21"/>
                <w:lang w:val="en-US" w:eastAsia="zh-CN"/>
              </w:rPr>
              <w:t>沟南乡南山村</w:t>
            </w:r>
          </w:p>
        </w:tc>
        <w:tc>
          <w:tcPr>
            <w:tcW w:w="750"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五台县</w:t>
            </w:r>
            <w:r>
              <w:rPr>
                <w:rFonts w:hint="eastAsia" w:asciiTheme="minorEastAsia" w:hAnsiTheme="minorEastAsia" w:cstheme="minorEastAsia"/>
                <w:color w:val="auto"/>
                <w:sz w:val="21"/>
                <w:szCs w:val="21"/>
                <w:lang w:val="en-US" w:eastAsia="zh-CN"/>
              </w:rPr>
              <w:t>民政局</w:t>
            </w:r>
          </w:p>
        </w:tc>
        <w:tc>
          <w:tcPr>
            <w:tcW w:w="1034"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山西清泽阳光环保科技有限公司</w:t>
            </w:r>
          </w:p>
        </w:tc>
        <w:tc>
          <w:tcPr>
            <w:tcW w:w="1950" w:type="dxa"/>
            <w:vAlign w:val="center"/>
          </w:tcPr>
          <w:p>
            <w:pPr>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eastAsia="zh-CN"/>
              </w:rPr>
              <w:t>项</w:t>
            </w:r>
            <w:r>
              <w:rPr>
                <w:rFonts w:hint="eastAsia" w:asciiTheme="minorEastAsia" w:hAnsiTheme="minorEastAsia" w:cstheme="minorEastAsia"/>
                <w:color w:val="auto"/>
                <w:sz w:val="21"/>
                <w:szCs w:val="21"/>
                <w:lang w:val="en-US" w:eastAsia="zh-CN"/>
              </w:rPr>
              <w:t>目占地面积23123m²，建设内容包括1栋告别楼、1栋后勤管理用房、1栋办公用房、</w:t>
            </w:r>
            <w:bookmarkStart w:id="0" w:name="_GoBack"/>
            <w:bookmarkEnd w:id="0"/>
            <w:r>
              <w:rPr>
                <w:rFonts w:hint="eastAsia" w:asciiTheme="minorEastAsia" w:hAnsiTheme="minorEastAsia" w:cstheme="minorEastAsia"/>
                <w:color w:val="auto"/>
                <w:sz w:val="21"/>
                <w:szCs w:val="21"/>
                <w:lang w:val="en-US" w:eastAsia="zh-CN"/>
              </w:rPr>
              <w:t>火化间、骨灰寄存室、遗体处理室、遗物焚烧间、门房、设备用房，室外厕所、连廊以及其它附属基础配套设施工程。项目总投资3762.88万元</w:t>
            </w:r>
            <w:r>
              <w:rPr>
                <w:rFonts w:hint="eastAsia" w:asciiTheme="minorEastAsia" w:hAnsiTheme="minorEastAsia" w:eastAsiaTheme="minorEastAsia" w:cstheme="minorEastAsia"/>
                <w:color w:val="auto"/>
                <w:sz w:val="21"/>
                <w:szCs w:val="21"/>
                <w:lang w:val="en-US" w:eastAsia="zh-CN"/>
              </w:rPr>
              <w:t>，其中环保投资</w:t>
            </w:r>
            <w:r>
              <w:rPr>
                <w:rFonts w:hint="eastAsia" w:asciiTheme="minorEastAsia" w:hAnsiTheme="minorEastAsia" w:cstheme="minorEastAsia"/>
                <w:color w:val="auto"/>
                <w:sz w:val="21"/>
                <w:szCs w:val="21"/>
                <w:lang w:val="en-US" w:eastAsia="zh-CN"/>
              </w:rPr>
              <w:t>115</w:t>
            </w:r>
            <w:r>
              <w:rPr>
                <w:rFonts w:hint="eastAsia" w:asciiTheme="minorEastAsia" w:hAnsiTheme="minorEastAsia" w:eastAsiaTheme="minorEastAsia" w:cstheme="minorEastAsia"/>
                <w:color w:val="auto"/>
                <w:sz w:val="21"/>
                <w:szCs w:val="21"/>
                <w:lang w:val="en-US" w:eastAsia="zh-CN"/>
              </w:rPr>
              <w:t>万元。</w:t>
            </w:r>
          </w:p>
          <w:p>
            <w:pPr>
              <w:jc w:val="center"/>
              <w:rPr>
                <w:rFonts w:hint="eastAsia" w:asciiTheme="minorEastAsia" w:hAnsiTheme="minorEastAsia" w:eastAsiaTheme="minorEastAsia" w:cstheme="minorEastAsia"/>
                <w:color w:val="auto"/>
                <w:sz w:val="21"/>
                <w:szCs w:val="21"/>
                <w:lang w:val="en-US" w:eastAsia="zh-CN"/>
              </w:rPr>
            </w:pPr>
          </w:p>
        </w:tc>
        <w:tc>
          <w:tcPr>
            <w:tcW w:w="10125" w:type="dxa"/>
            <w:vAlign w:val="center"/>
          </w:tcPr>
          <w:p>
            <w:pPr>
              <w:numPr>
                <w:ilvl w:val="0"/>
                <w:numId w:val="0"/>
              </w:numPr>
              <w:ind w:leftChars="0" w:firstLine="420" w:firstLineChars="200"/>
              <w:jc w:val="both"/>
              <w:rPr>
                <w:rFonts w:hint="eastAsia" w:asciiTheme="minorEastAsia" w:hAnsi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cstheme="minorEastAsia"/>
                <w:color w:val="auto"/>
                <w:sz w:val="21"/>
                <w:szCs w:val="21"/>
                <w:lang w:val="en-US" w:eastAsia="zh-CN"/>
              </w:rPr>
              <w:t>严格落实</w:t>
            </w:r>
            <w:r>
              <w:rPr>
                <w:rFonts w:hint="eastAsia" w:asciiTheme="minorEastAsia" w:hAnsiTheme="minorEastAsia" w:eastAsiaTheme="minorEastAsia" w:cstheme="minorEastAsia"/>
                <w:color w:val="auto"/>
                <w:sz w:val="21"/>
                <w:szCs w:val="21"/>
                <w:lang w:val="en-US" w:eastAsia="zh-CN"/>
              </w:rPr>
              <w:t>废气防治措施。</w:t>
            </w:r>
            <w:r>
              <w:rPr>
                <w:rFonts w:hint="eastAsia" w:asciiTheme="minorEastAsia" w:hAnsiTheme="minorEastAsia" w:cstheme="minorEastAsia"/>
                <w:color w:val="auto"/>
                <w:sz w:val="21"/>
                <w:szCs w:val="21"/>
                <w:lang w:val="en-US" w:eastAsia="zh-CN"/>
              </w:rPr>
              <w:t>施工场界围挡，合理安排工期，禁止大风天气施工。易产尘材料防水隔尘布全覆盖或密闭放置，裸露地面覆盖或临时绿化，施工现场定期洒水降尘。运输车辆清洗车身，运输时车斗篷布苫盖或采用密闭车斗。3台节能环保火化机、遗物祭品焚烧炉分别单独配置一套废气处理设施加1根排气筒，烟气经急冷装置+半干法脱硫+活性炭喷射+布袋除尘器+活性炭吸附组合方案处理后由排气筒达标排放。备用发电机烟气经自带烟气净化装置处理后由专用排烟风井引至屋顶排放。采用全过程封闭地埋式一体化污水处理设备，抑制恶臭散发，定期喷洒生物除臭剂，及时清理生活垃圾减少存放时间，减少恶臭物质排放。设置地下柴油储罐，安装机械呼吸阀，控制挥发性有机物的排放。废气排放需满足《火葬场大气污染物排放标准》（GB13801-2015）限值要求，臭气浓度需满足《恶臭污染物排放标准》（GB14554-93）恶臭污染物厂界标准值。</w:t>
            </w:r>
          </w:p>
          <w:p>
            <w:pPr>
              <w:numPr>
                <w:ilvl w:val="0"/>
                <w:numId w:val="0"/>
              </w:numPr>
              <w:spacing w:line="240" w:lineRule="auto"/>
              <w:ind w:leftChars="0"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cstheme="minorEastAsia"/>
                <w:color w:val="auto"/>
                <w:sz w:val="21"/>
                <w:szCs w:val="21"/>
                <w:lang w:val="en-US" w:eastAsia="zh-CN"/>
              </w:rPr>
              <w:t>严格落实</w:t>
            </w:r>
            <w:r>
              <w:rPr>
                <w:rFonts w:hint="eastAsia" w:asciiTheme="minorEastAsia" w:hAnsiTheme="minorEastAsia" w:eastAsiaTheme="minorEastAsia" w:cstheme="minorEastAsia"/>
                <w:color w:val="auto"/>
                <w:sz w:val="21"/>
                <w:szCs w:val="21"/>
                <w:lang w:val="en-US" w:eastAsia="zh-CN"/>
              </w:rPr>
              <w:t>废水防治措施。</w:t>
            </w:r>
            <w:r>
              <w:rPr>
                <w:rFonts w:hint="eastAsia" w:asciiTheme="minorEastAsia" w:hAnsiTheme="minorEastAsia" w:cstheme="minorEastAsia"/>
                <w:color w:val="auto"/>
                <w:sz w:val="21"/>
                <w:szCs w:val="21"/>
                <w:lang w:val="en-US" w:eastAsia="zh-CN"/>
              </w:rPr>
              <w:t>施工期生活污水就地泼洒抑尘，食堂废水经隔油、隔渣池处理后用于场地降尘，机械冲洗废水收集、除油处理后达标排放。车辆冲洗废水经沉淀池处理后循环使用。</w:t>
            </w:r>
            <w:r>
              <w:rPr>
                <w:rFonts w:hint="eastAsia" w:hAnsi="宋体"/>
                <w:color w:val="auto"/>
                <w:szCs w:val="21"/>
              </w:rPr>
              <w:t>遗体处置</w:t>
            </w:r>
            <w:r>
              <w:rPr>
                <w:rFonts w:hint="eastAsia" w:hAnsi="宋体"/>
                <w:color w:val="auto"/>
                <w:szCs w:val="21"/>
                <w:lang w:eastAsia="zh-CN"/>
              </w:rPr>
              <w:t>、</w:t>
            </w:r>
            <w:r>
              <w:rPr>
                <w:rFonts w:hint="eastAsia" w:hAnsi="宋体"/>
                <w:color w:val="auto"/>
                <w:szCs w:val="21"/>
              </w:rPr>
              <w:t>专用殡仪车辆清洗、消毒废水</w:t>
            </w:r>
            <w:r>
              <w:rPr>
                <w:rFonts w:hint="eastAsia" w:hAnsi="宋体"/>
                <w:color w:val="auto"/>
                <w:szCs w:val="21"/>
                <w:lang w:eastAsia="zh-CN"/>
              </w:rPr>
              <w:t>以及地坪直接冲洗废水，</w:t>
            </w:r>
            <w:r>
              <w:rPr>
                <w:rFonts w:hint="eastAsia" w:hAnsi="宋体"/>
                <w:color w:val="auto"/>
                <w:szCs w:val="21"/>
              </w:rPr>
              <w:t>经消毒池预处理后</w:t>
            </w:r>
            <w:r>
              <w:rPr>
                <w:rFonts w:hint="eastAsia" w:hAnsi="宋体"/>
                <w:color w:val="auto"/>
                <w:szCs w:val="21"/>
                <w:lang w:eastAsia="zh-CN"/>
              </w:rPr>
              <w:t>同生活污水、急冷装置循环冷却水排污水</w:t>
            </w:r>
            <w:r>
              <w:rPr>
                <w:rFonts w:hint="eastAsia" w:hAnsi="宋体"/>
                <w:color w:val="auto"/>
                <w:szCs w:val="21"/>
              </w:rPr>
              <w:t>进入自建污水处理站处理</w:t>
            </w:r>
            <w:r>
              <w:rPr>
                <w:rFonts w:hint="eastAsia" w:hAnsi="宋体"/>
                <w:color w:val="auto"/>
                <w:szCs w:val="21"/>
                <w:lang w:eastAsia="zh-CN"/>
              </w:rPr>
              <w:t>。</w:t>
            </w:r>
            <w:r>
              <w:rPr>
                <w:rFonts w:hint="eastAsia" w:hAnsi="宋体"/>
                <w:color w:val="auto"/>
                <w:szCs w:val="21"/>
              </w:rPr>
              <w:t>废水经污水处理站处理后非采暖期用于道路浇洒及绿化浇灌，采暖期定期抽送至</w:t>
            </w:r>
            <w:r>
              <w:rPr>
                <w:rFonts w:hint="eastAsia" w:asciiTheme="minorEastAsia" w:hAnsiTheme="minorEastAsia" w:cstheme="minorEastAsia"/>
                <w:color w:val="auto"/>
                <w:sz w:val="21"/>
                <w:szCs w:val="21"/>
                <w:lang w:val="en-US" w:eastAsia="zh-CN"/>
              </w:rPr>
              <w:t>五台县生活污水处理厂。自建污水处理站出水需满足《城市污水再生利用 城市杂用水水质》（GB/T18920-2020）城</w:t>
            </w:r>
            <w:r>
              <w:rPr>
                <w:rFonts w:hint="eastAsia" w:hAnsi="宋体"/>
                <w:color w:val="auto"/>
                <w:szCs w:val="21"/>
                <w:lang w:eastAsia="zh-CN"/>
              </w:rPr>
              <w:t>市绿化用水水质标准。</w:t>
            </w:r>
          </w:p>
          <w:p>
            <w:pPr>
              <w:ind w:firstLine="420" w:firstLineChars="200"/>
              <w:jc w:val="both"/>
              <w:rPr>
                <w:rFonts w:hint="eastAsia" w:asciiTheme="minorEastAsia" w:hAnsi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cstheme="minorEastAsia"/>
                <w:color w:val="auto"/>
                <w:sz w:val="21"/>
                <w:szCs w:val="21"/>
                <w:lang w:val="en-US" w:eastAsia="zh-CN"/>
              </w:rPr>
              <w:t>严格落实</w:t>
            </w:r>
            <w:r>
              <w:rPr>
                <w:rFonts w:hint="eastAsia" w:asciiTheme="minorEastAsia" w:hAnsiTheme="minorEastAsia" w:eastAsiaTheme="minorEastAsia" w:cstheme="minorEastAsia"/>
                <w:color w:val="auto"/>
                <w:sz w:val="21"/>
                <w:szCs w:val="21"/>
                <w:lang w:val="en-US" w:eastAsia="zh-CN"/>
              </w:rPr>
              <w:t>噪声防治措施。</w:t>
            </w:r>
            <w:r>
              <w:rPr>
                <w:rFonts w:hint="eastAsia" w:asciiTheme="minorEastAsia" w:hAnsiTheme="minorEastAsia" w:cstheme="minorEastAsia"/>
                <w:color w:val="auto"/>
                <w:sz w:val="21"/>
                <w:szCs w:val="21"/>
                <w:lang w:val="en-US" w:eastAsia="zh-CN"/>
              </w:rPr>
              <w:t>选用低噪声设备，定期维护保养，采取隔声、基础减振、室内安装等措施。产噪设备合理布局，避免局部声级过高，高噪声设备禁止夜间施工。车辆限速行驶，禁止鸣笛。控制悼念活动时高音喇叭、乐队奏乐的噪声级。种植花卉树木，加强绿化，降低噪声影响。厂界噪声需满足《工业企业厂界环境噪声排放标准》（GB12348-2008）2类标准。</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四、严格落实固废防治措施。施工垃圾回收利用，不能回收利用的密闭运输至指定地点集中处置。</w:t>
            </w:r>
            <w:r>
              <w:rPr>
                <w:rFonts w:hint="eastAsia" w:hAnsi="宋体"/>
                <w:color w:val="auto"/>
                <w:szCs w:val="21"/>
              </w:rPr>
              <w:t>火化炉遗留灰渣、遗物祭品焚烧灰渣、污水处理设施污泥</w:t>
            </w:r>
            <w:r>
              <w:rPr>
                <w:rFonts w:hint="eastAsia" w:hAnsi="宋体"/>
                <w:color w:val="auto"/>
                <w:szCs w:val="21"/>
                <w:lang w:eastAsia="zh-CN"/>
              </w:rPr>
              <w:t>、生活垃圾</w:t>
            </w:r>
            <w:r>
              <w:rPr>
                <w:rFonts w:hint="eastAsia"/>
                <w:color w:val="auto"/>
                <w:szCs w:val="21"/>
              </w:rPr>
              <w:t>运至</w:t>
            </w:r>
            <w:r>
              <w:rPr>
                <w:rFonts w:hAnsi="宋体"/>
                <w:color w:val="auto"/>
                <w:szCs w:val="21"/>
              </w:rPr>
              <w:t>指定地点</w:t>
            </w:r>
            <w:r>
              <w:rPr>
                <w:rFonts w:hint="eastAsia" w:hAnsi="宋体"/>
                <w:color w:val="auto"/>
                <w:szCs w:val="21"/>
              </w:rPr>
              <w:t>统一</w:t>
            </w:r>
            <w:r>
              <w:rPr>
                <w:rFonts w:hAnsi="宋体"/>
                <w:color w:val="auto"/>
                <w:szCs w:val="21"/>
              </w:rPr>
              <w:t>处理</w:t>
            </w:r>
            <w:r>
              <w:rPr>
                <w:rFonts w:hint="eastAsia" w:hAnsi="宋体"/>
                <w:color w:val="auto"/>
                <w:szCs w:val="21"/>
              </w:rPr>
              <w:t>。焚烧飞灰、废脱硫粉、废活性炭储存于特定容器中，暂存于危废</w:t>
            </w:r>
            <w:r>
              <w:rPr>
                <w:rFonts w:hint="eastAsia" w:hAnsi="宋体"/>
                <w:color w:val="auto"/>
                <w:szCs w:val="21"/>
                <w:lang w:eastAsia="zh-CN"/>
              </w:rPr>
              <w:t>库，</w:t>
            </w:r>
            <w:r>
              <w:rPr>
                <w:rFonts w:hint="eastAsia" w:hAnsi="宋体"/>
                <w:color w:val="auto"/>
                <w:szCs w:val="21"/>
              </w:rPr>
              <w:t>委托有资质的单位定期处置。</w:t>
            </w:r>
            <w:r>
              <w:rPr>
                <w:rFonts w:hint="eastAsia" w:hAnsi="宋体"/>
                <w:color w:val="auto"/>
                <w:szCs w:val="21"/>
                <w:lang w:eastAsia="zh-CN"/>
              </w:rPr>
              <w:t>隔油池油渣委托相关餐饮废物回收单位处置。</w:t>
            </w:r>
          </w:p>
          <w:p>
            <w:pPr>
              <w:ind w:firstLine="420" w:firstLineChars="200"/>
              <w:jc w:val="both"/>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五、严格落实土壤和地下水污染防治措施。地面硬化，危废库防水、防渗、防流失。项目废水的收集、输送、管道的施工中严格执行高标准防渗措施，防治废水沿途泄露；加强区域内土壤防护，确保项目所在区域的地下水环境质量和土壤环境质量满足各项标准要求。</w:t>
            </w:r>
          </w:p>
          <w:p>
            <w:pPr>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严格</w:t>
            </w:r>
            <w:r>
              <w:rPr>
                <w:rFonts w:hint="eastAsia" w:asciiTheme="minorEastAsia" w:hAnsiTheme="minorEastAsia" w:eastAsiaTheme="minorEastAsia" w:cstheme="minorEastAsia"/>
                <w:color w:val="auto"/>
                <w:sz w:val="21"/>
                <w:szCs w:val="21"/>
                <w:lang w:eastAsia="zh-CN"/>
              </w:rPr>
              <w:t>执行</w:t>
            </w:r>
            <w:r>
              <w:rPr>
                <w:rFonts w:hint="eastAsia" w:asciiTheme="minorEastAsia" w:hAnsiTheme="minorEastAsia" w:eastAsiaTheme="minorEastAsia" w:cstheme="minorEastAsia"/>
                <w:color w:val="auto"/>
                <w:sz w:val="21"/>
                <w:szCs w:val="21"/>
              </w:rPr>
              <w:t>各项环境风险防范措施</w:t>
            </w:r>
            <w:r>
              <w:rPr>
                <w:rFonts w:hint="eastAsia" w:asciiTheme="minorEastAsia" w:hAnsiTheme="minorEastAsia" w:cstheme="minorEastAsia"/>
                <w:color w:val="auto"/>
                <w:sz w:val="21"/>
                <w:szCs w:val="21"/>
                <w:lang w:eastAsia="zh-CN"/>
              </w:rPr>
              <w:t>。柴油供应商具备有效资质，选用专业运输车辆和有资质的专业人员运输，严格遵守各项运输、装卸规定，严禁同氧化剂、卤素、食用化学品混装混运，卸车结束后及时清理现场，确保无有害物质残留。确定专门管理人员，定期检查柴油的安全及柴油储罐呼吸阀、阻火器是否处于正常状态，柴油储罐必须满足相关安全防火规定。</w:t>
            </w:r>
            <w:r>
              <w:rPr>
                <w:rFonts w:hint="eastAsia" w:asciiTheme="minorEastAsia" w:hAnsiTheme="minorEastAsia" w:eastAsiaTheme="minorEastAsia" w:cstheme="minorEastAsia"/>
                <w:color w:val="auto"/>
                <w:sz w:val="21"/>
                <w:szCs w:val="21"/>
              </w:rPr>
              <w:t>制定环境风险</w:t>
            </w:r>
            <w:r>
              <w:rPr>
                <w:rFonts w:hint="eastAsia" w:asciiTheme="minorEastAsia" w:hAnsiTheme="minorEastAsia" w:eastAsiaTheme="minorEastAsia" w:cstheme="minorEastAsia"/>
                <w:color w:val="auto"/>
                <w:sz w:val="21"/>
                <w:szCs w:val="21"/>
                <w:lang w:eastAsia="zh-CN"/>
              </w:rPr>
              <w:t>事故</w:t>
            </w:r>
            <w:r>
              <w:rPr>
                <w:rFonts w:hint="eastAsia" w:asciiTheme="minorEastAsia" w:hAnsiTheme="minorEastAsia" w:eastAsiaTheme="minorEastAsia" w:cstheme="minorEastAsia"/>
                <w:color w:val="auto"/>
                <w:sz w:val="21"/>
                <w:szCs w:val="21"/>
              </w:rPr>
              <w:t>应急预案，提高环境风险防范意识与应急能力，定期开展环境风险应急演练，</w:t>
            </w:r>
            <w:r>
              <w:rPr>
                <w:rFonts w:hint="eastAsia" w:asciiTheme="minorEastAsia" w:hAnsiTheme="minorEastAsia" w:cstheme="minorEastAsia"/>
                <w:color w:val="auto"/>
                <w:sz w:val="21"/>
                <w:szCs w:val="21"/>
                <w:lang w:eastAsia="zh-CN"/>
              </w:rPr>
              <w:t>严格执行各项安全管理制度和风险防范措施，发现问题立行立改</w:t>
            </w:r>
            <w:r>
              <w:rPr>
                <w:rFonts w:hint="eastAsia" w:asciiTheme="minorEastAsia" w:hAnsiTheme="minorEastAsia" w:eastAsiaTheme="minorEastAsia" w:cstheme="minorEastAsia"/>
                <w:color w:val="auto"/>
                <w:sz w:val="21"/>
                <w:szCs w:val="21"/>
                <w:lang w:eastAsia="zh-CN"/>
              </w:rPr>
              <w:t>将事故风险降低到最小。</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eastAsia="zh-CN"/>
              </w:rPr>
              <w:t>七、卫生防护距离。根据《大气有害物质无组织排放卫生防护距离推导技术导则》（</w:t>
            </w:r>
            <w:r>
              <w:rPr>
                <w:rFonts w:hint="eastAsia" w:asciiTheme="minorEastAsia" w:hAnsiTheme="minorEastAsia" w:cstheme="minorEastAsia"/>
                <w:color w:val="auto"/>
                <w:sz w:val="21"/>
                <w:szCs w:val="21"/>
                <w:lang w:val="en-US" w:eastAsia="zh-CN"/>
              </w:rPr>
              <w:t>GB/T39499-2020</w:t>
            </w:r>
            <w:r>
              <w:rPr>
                <w:rFonts w:hint="eastAsia" w:asciiTheme="minorEastAsia" w:hAnsiTheme="minorEastAsia" w:cstheme="minorEastAsia"/>
                <w:color w:val="auto"/>
                <w:sz w:val="21"/>
                <w:szCs w:val="21"/>
                <w:lang w:eastAsia="zh-CN"/>
              </w:rPr>
              <w:t>）有关规定，该项目卫生防护距离为</w:t>
            </w:r>
            <w:r>
              <w:rPr>
                <w:rFonts w:hint="eastAsia" w:asciiTheme="minorEastAsia" w:hAnsiTheme="minorEastAsia" w:cstheme="minorEastAsia"/>
                <w:color w:val="auto"/>
                <w:sz w:val="21"/>
                <w:szCs w:val="21"/>
                <w:lang w:val="en-US" w:eastAsia="zh-CN"/>
              </w:rPr>
              <w:t>700m。项目</w:t>
            </w:r>
            <w:r>
              <w:rPr>
                <w:rFonts w:hint="eastAsia" w:asciiTheme="minorEastAsia" w:hAnsiTheme="minorEastAsia" w:cstheme="minorEastAsia"/>
                <w:color w:val="auto"/>
                <w:sz w:val="21"/>
                <w:szCs w:val="21"/>
                <w:lang w:eastAsia="zh-CN"/>
              </w:rPr>
              <w:t>卫生防护距离范围内不得存在、新建环境敏感目标。</w:t>
            </w:r>
          </w:p>
          <w:p>
            <w:pPr>
              <w:numPr>
                <w:ilvl w:val="0"/>
                <w:numId w:val="0"/>
              </w:numPr>
              <w:jc w:val="both"/>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15367" w:type="dxa"/>
            <w:gridSpan w:val="6"/>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听证权利告知：依据《中华人民共和国行政许可法》，自公示起</w:t>
            </w:r>
            <w:r>
              <w:rPr>
                <w:rFonts w:hint="eastAsia" w:asciiTheme="minorEastAsia" w:hAnsi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日内申请人、利害关系人可提出听证申请。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15367" w:type="dxa"/>
            <w:gridSpan w:val="6"/>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公众反馈意见联系电话：</w:t>
            </w:r>
            <w:r>
              <w:rPr>
                <w:rFonts w:hint="eastAsia" w:asciiTheme="minorEastAsia" w:hAnsiTheme="minorEastAsia" w:eastAsiaTheme="minorEastAsia" w:cstheme="minorEastAsia"/>
                <w:color w:val="auto"/>
                <w:sz w:val="21"/>
                <w:szCs w:val="21"/>
                <w:lang w:val="en-US" w:eastAsia="zh-CN"/>
              </w:rPr>
              <w:t>五台县行政审批服务管理局生态环境股     0350-8759020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15367" w:type="dxa"/>
            <w:gridSpan w:val="6"/>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公示时间：202</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年</w:t>
            </w:r>
            <w:r>
              <w:rPr>
                <w:rFonts w:hint="eastAsia" w:asciiTheme="minorEastAsia" w:hAnsi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月</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日-202</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年</w:t>
            </w:r>
            <w:r>
              <w:rPr>
                <w:rFonts w:hint="eastAsia" w:asciiTheme="minorEastAsia" w:hAnsi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月</w:t>
            </w:r>
            <w:r>
              <w:rPr>
                <w:rFonts w:hint="eastAsia" w:asciiTheme="minorEastAsia" w:hAnsi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日（3个工作日）</w:t>
            </w:r>
          </w:p>
        </w:tc>
      </w:tr>
    </w:tbl>
    <w:p>
      <w:pPr>
        <w:rPr>
          <w:rFonts w:hint="eastAsia" w:asciiTheme="minorEastAsia" w:hAnsiTheme="minorEastAsia" w:eastAsiaTheme="minorEastAsia" w:cstheme="minorEastAsia"/>
          <w:b/>
          <w:bCs/>
          <w:sz w:val="24"/>
          <w:szCs w:val="24"/>
          <w:lang w:eastAsia="zh-CN"/>
        </w:rPr>
      </w:pPr>
    </w:p>
    <w:p/>
    <w:sectPr>
      <w:pgSz w:w="16838" w:h="11906" w:orient="landscape"/>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A3796"/>
    <w:rsid w:val="04E62B9A"/>
    <w:rsid w:val="04FF56CC"/>
    <w:rsid w:val="0CCB4309"/>
    <w:rsid w:val="0EFE1D03"/>
    <w:rsid w:val="13F25C15"/>
    <w:rsid w:val="14550939"/>
    <w:rsid w:val="19443E86"/>
    <w:rsid w:val="1CAE37AC"/>
    <w:rsid w:val="216D16B5"/>
    <w:rsid w:val="22CB6CD4"/>
    <w:rsid w:val="25133D02"/>
    <w:rsid w:val="26BB5E00"/>
    <w:rsid w:val="26CF2038"/>
    <w:rsid w:val="29D27939"/>
    <w:rsid w:val="2F971B91"/>
    <w:rsid w:val="330F6592"/>
    <w:rsid w:val="379066EC"/>
    <w:rsid w:val="445B5074"/>
    <w:rsid w:val="44DA7E2C"/>
    <w:rsid w:val="49EF2863"/>
    <w:rsid w:val="4B8A3796"/>
    <w:rsid w:val="4E9C3338"/>
    <w:rsid w:val="530F14AE"/>
    <w:rsid w:val="54DE4114"/>
    <w:rsid w:val="57534CEA"/>
    <w:rsid w:val="5A49578F"/>
    <w:rsid w:val="66193DF8"/>
    <w:rsid w:val="683F13F2"/>
    <w:rsid w:val="684D7AF1"/>
    <w:rsid w:val="6B0571A0"/>
    <w:rsid w:val="6B483661"/>
    <w:rsid w:val="6B8C618B"/>
    <w:rsid w:val="70C937FC"/>
    <w:rsid w:val="7E1E60A6"/>
    <w:rsid w:val="7FCB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544</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2021-07-20T07:25:00Z</dcterms:created>
  <dc:creator>张家诚</dc:creator>
  <cp:lastModifiedBy>闫开元</cp:lastModifiedBy>
  <cp:lastPrinted>2022-05-31T00:51:18Z</cp:lastPrinted>
  <dcterms:modified xsi:type="dcterms:W3CDTF">2022-05-31T09:47:28Z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y fmtid="{D5CDD505-2E9C-101B-9397-08002B2CF9AE}" pid="3" name="ICV">
    <vt:lpwstr>FEEB986DF936411499C67B77E061B9A2</vt:lpwstr>
  </property>
</Properties>
</file>