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outlineLvl w:val="0"/>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 xml:space="preserve">项目名称： </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五台县殡仪馆项目 </w:t>
      </w:r>
      <w:r>
        <w:rPr>
          <w:rFonts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 五台县民政局       </w:t>
      </w:r>
    </w:p>
    <w:p>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202</w:t>
      </w:r>
      <w:r>
        <w:rPr>
          <w:rFonts w:hint="eastAsia" w:ascii="仿宋_GB2312" w:eastAsia="仿宋_GB2312"/>
          <w:color w:val="auto"/>
          <w:sz w:val="36"/>
          <w:szCs w:val="36"/>
          <w:u w:val="single"/>
          <w:lang w:val="en-US" w:eastAsia="zh-CN"/>
        </w:rPr>
        <w:t>2</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0"/>
    <w:p>
      <w:pPr>
        <w:adjustRightInd w:val="0"/>
        <w:snapToGrid w:val="0"/>
        <w:spacing w:line="288" w:lineRule="auto"/>
        <w:jc w:val="center"/>
        <w:rPr>
          <w:rFonts w:ascii="楷体_GB2312" w:eastAsia="楷体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color w:val="auto"/>
          <w:sz w:val="36"/>
          <w:szCs w:val="36"/>
        </w:rPr>
        <w:t>中华人民共和国生态环境部制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楷体_GB2312" w:eastAsia="楷体_GB2312"/>
          <w:color w:val="auto"/>
          <w:sz w:val="24"/>
        </w:rPr>
      </w:pP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1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723"/>
        <w:gridCol w:w="1357"/>
        <w:gridCol w:w="1852"/>
        <w:gridCol w:w="1785"/>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建设项目名称</w:t>
            </w:r>
          </w:p>
        </w:tc>
        <w:tc>
          <w:tcPr>
            <w:tcW w:w="3601" w:type="pct"/>
            <w:gridSpan w:val="3"/>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szCs w:val="24"/>
              </w:rPr>
            </w:pPr>
            <w:r>
              <w:rPr>
                <w:rFonts w:hint="eastAsia"/>
                <w:color w:val="auto"/>
                <w:sz w:val="24"/>
                <w:szCs w:val="24"/>
              </w:rPr>
              <w:t>五台县殡仪馆项目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项目代码</w:t>
            </w:r>
          </w:p>
        </w:tc>
        <w:tc>
          <w:tcPr>
            <w:tcW w:w="3601" w:type="pct"/>
            <w:gridSpan w:val="3"/>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szCs w:val="24"/>
                <w:lang w:val="en-US" w:eastAsia="zh-CN"/>
              </w:rPr>
            </w:pPr>
            <w:r>
              <w:rPr>
                <w:rFonts w:hint="eastAsia"/>
                <w:color w:val="auto"/>
                <w:sz w:val="24"/>
                <w:szCs w:val="24"/>
                <w:lang w:val="en-US" w:eastAsia="zh-CN"/>
              </w:rPr>
              <w:t>2202-140922-89-01-190178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建设单位联系人</w:t>
            </w:r>
          </w:p>
        </w:tc>
        <w:tc>
          <w:tcPr>
            <w:tcW w:w="1021"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王荣伟</w:t>
            </w:r>
          </w:p>
        </w:tc>
        <w:tc>
          <w:tcPr>
            <w:tcW w:w="984"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b/>
                <w:bCs/>
                <w:color w:val="auto"/>
                <w:sz w:val="24"/>
              </w:rPr>
              <w:t>联系方式</w:t>
            </w:r>
          </w:p>
        </w:tc>
        <w:tc>
          <w:tcPr>
            <w:tcW w:w="1595"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13403509169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建设地点</w:t>
            </w:r>
          </w:p>
        </w:tc>
        <w:tc>
          <w:tcPr>
            <w:tcW w:w="3601" w:type="pct"/>
            <w:gridSpan w:val="3"/>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山西省忻州市五台县</w:t>
            </w:r>
            <w:r>
              <w:rPr>
                <w:rFonts w:hint="eastAsia"/>
                <w:color w:val="auto"/>
                <w:sz w:val="24"/>
                <w:lang w:val="en-US" w:eastAsia="zh-CN"/>
              </w:rPr>
              <w:t>沟南</w:t>
            </w:r>
            <w:r>
              <w:rPr>
                <w:rFonts w:hint="eastAsia"/>
                <w:color w:val="auto"/>
                <w:sz w:val="24"/>
              </w:rPr>
              <w:t>乡</w:t>
            </w:r>
            <w:r>
              <w:rPr>
                <w:rFonts w:hint="eastAsia"/>
                <w:color w:val="auto"/>
                <w:sz w:val="24"/>
                <w:lang w:val="en-US" w:eastAsia="zh-CN"/>
              </w:rPr>
              <w:t>南山</w:t>
            </w:r>
            <w:r>
              <w:rPr>
                <w:rFonts w:hint="eastAsia"/>
                <w:color w:val="auto"/>
                <w:sz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地理坐标</w:t>
            </w:r>
          </w:p>
        </w:tc>
        <w:tc>
          <w:tcPr>
            <w:tcW w:w="3601" w:type="pct"/>
            <w:gridSpan w:val="3"/>
            <w:vAlign w:val="center"/>
          </w:tcPr>
          <w:p>
            <w:pPr>
              <w:keepNext w:val="0"/>
              <w:keepLines w:val="0"/>
              <w:suppressLineNumbers w:val="0"/>
              <w:spacing w:before="0" w:beforeAutospacing="0" w:after="0" w:afterAutospacing="0"/>
              <w:ind w:left="0" w:right="0"/>
              <w:jc w:val="center"/>
              <w:rPr>
                <w:rFonts w:hint="eastAsia"/>
                <w:color w:val="auto"/>
                <w:sz w:val="24"/>
              </w:rPr>
            </w:pPr>
            <w:r>
              <w:rPr>
                <w:rFonts w:hint="eastAsia"/>
                <w:color w:val="auto"/>
                <w:sz w:val="24"/>
              </w:rPr>
              <w:t>（</w:t>
            </w:r>
            <w:r>
              <w:rPr>
                <w:rFonts w:hint="eastAsia"/>
                <w:color w:val="auto"/>
                <w:sz w:val="24"/>
                <w:u w:val="single"/>
              </w:rPr>
              <w:t xml:space="preserve"> 113 </w:t>
            </w:r>
            <w:r>
              <w:rPr>
                <w:rFonts w:hint="eastAsia"/>
                <w:color w:val="auto"/>
                <w:sz w:val="24"/>
              </w:rPr>
              <w:t>度</w:t>
            </w:r>
            <w:r>
              <w:rPr>
                <w:rFonts w:hint="eastAsia"/>
                <w:color w:val="auto"/>
                <w:sz w:val="24"/>
                <w:u w:val="single"/>
              </w:rPr>
              <w:t xml:space="preserve"> </w:t>
            </w:r>
            <w:r>
              <w:rPr>
                <w:rFonts w:hint="eastAsia"/>
                <w:color w:val="auto"/>
                <w:sz w:val="24"/>
                <w:u w:val="single"/>
                <w:lang w:val="en-US" w:eastAsia="zh-CN"/>
              </w:rPr>
              <w:t>15</w:t>
            </w:r>
            <w:r>
              <w:rPr>
                <w:rFonts w:hint="eastAsia"/>
                <w:color w:val="auto"/>
                <w:sz w:val="24"/>
                <w:u w:val="single"/>
              </w:rPr>
              <w:t xml:space="preserve"> </w:t>
            </w:r>
            <w:r>
              <w:rPr>
                <w:rFonts w:hint="eastAsia"/>
                <w:color w:val="auto"/>
                <w:sz w:val="24"/>
              </w:rPr>
              <w:t>分</w:t>
            </w:r>
            <w:r>
              <w:rPr>
                <w:rFonts w:hint="eastAsia"/>
                <w:color w:val="auto"/>
                <w:sz w:val="24"/>
                <w:u w:val="single"/>
              </w:rPr>
              <w:t xml:space="preserve"> </w:t>
            </w:r>
            <w:r>
              <w:rPr>
                <w:rFonts w:hint="eastAsia"/>
                <w:color w:val="auto"/>
                <w:sz w:val="24"/>
                <w:u w:val="single"/>
                <w:lang w:val="en-US" w:eastAsia="zh-CN"/>
              </w:rPr>
              <w:t>15.505</w:t>
            </w:r>
            <w:r>
              <w:rPr>
                <w:rFonts w:hint="eastAsia"/>
                <w:color w:val="auto"/>
                <w:sz w:val="24"/>
                <w:u w:val="single"/>
              </w:rPr>
              <w:t xml:space="preserve"> </w:t>
            </w:r>
            <w:r>
              <w:rPr>
                <w:rFonts w:hint="eastAsia"/>
                <w:color w:val="auto"/>
                <w:sz w:val="24"/>
              </w:rPr>
              <w:t>秒，</w:t>
            </w:r>
            <w:r>
              <w:rPr>
                <w:rFonts w:hint="eastAsia"/>
                <w:color w:val="auto"/>
                <w:sz w:val="24"/>
                <w:u w:val="single"/>
              </w:rPr>
              <w:t xml:space="preserve"> 38 </w:t>
            </w:r>
            <w:r>
              <w:rPr>
                <w:rFonts w:hint="eastAsia"/>
                <w:color w:val="auto"/>
                <w:sz w:val="24"/>
              </w:rPr>
              <w:t>度</w:t>
            </w:r>
            <w:r>
              <w:rPr>
                <w:rFonts w:hint="eastAsia"/>
                <w:color w:val="auto"/>
                <w:sz w:val="24"/>
                <w:u w:val="single"/>
              </w:rPr>
              <w:t xml:space="preserve"> </w:t>
            </w:r>
            <w:r>
              <w:rPr>
                <w:rFonts w:hint="eastAsia"/>
                <w:color w:val="auto"/>
                <w:sz w:val="24"/>
                <w:u w:val="single"/>
                <w:lang w:val="en-US" w:eastAsia="zh-CN"/>
              </w:rPr>
              <w:t>39</w:t>
            </w:r>
            <w:r>
              <w:rPr>
                <w:rFonts w:hint="eastAsia"/>
                <w:color w:val="auto"/>
                <w:sz w:val="24"/>
                <w:u w:val="single"/>
              </w:rPr>
              <w:t xml:space="preserve"> </w:t>
            </w:r>
            <w:r>
              <w:rPr>
                <w:rFonts w:hint="eastAsia"/>
                <w:color w:val="auto"/>
                <w:sz w:val="24"/>
              </w:rPr>
              <w:t>分</w:t>
            </w:r>
            <w:r>
              <w:rPr>
                <w:rFonts w:hint="eastAsia"/>
                <w:color w:val="auto"/>
                <w:sz w:val="24"/>
                <w:u w:val="single"/>
              </w:rPr>
              <w:t xml:space="preserve"> </w:t>
            </w:r>
            <w:r>
              <w:rPr>
                <w:rFonts w:hint="eastAsia"/>
                <w:color w:val="auto"/>
                <w:sz w:val="24"/>
                <w:u w:val="single"/>
                <w:lang w:val="en-US" w:eastAsia="zh-CN"/>
              </w:rPr>
              <w:t>29.883</w:t>
            </w:r>
            <w:r>
              <w:rPr>
                <w:rFonts w:hint="eastAsia"/>
                <w:color w:val="auto"/>
                <w:sz w:val="24"/>
                <w:u w:val="single"/>
              </w:rPr>
              <w:t xml:space="preserve"> </w:t>
            </w:r>
            <w:r>
              <w:rPr>
                <w:rFonts w:hint="eastAsia"/>
                <w:color w:val="auto"/>
                <w:sz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国民经济</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行业类别</w:t>
            </w:r>
          </w:p>
        </w:tc>
        <w:tc>
          <w:tcPr>
            <w:tcW w:w="1021"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8080殡葬服务</w:t>
            </w:r>
          </w:p>
        </w:tc>
        <w:tc>
          <w:tcPr>
            <w:tcW w:w="984" w:type="pct"/>
            <w:vAlign w:val="center"/>
          </w:tcPr>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bookmarkStart w:id="1" w:name="_Hlk49843745"/>
            <w:r>
              <w:rPr>
                <w:rFonts w:hint="eastAsia"/>
                <w:b/>
                <w:bCs/>
                <w:color w:val="auto"/>
                <w:sz w:val="24"/>
              </w:rPr>
              <w:t>建设项目</w:t>
            </w:r>
          </w:p>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z w:val="24"/>
              </w:rPr>
              <w:t>行业类别</w:t>
            </w:r>
            <w:bookmarkEnd w:id="1"/>
          </w:p>
        </w:tc>
        <w:tc>
          <w:tcPr>
            <w:tcW w:w="1595" w:type="pct"/>
            <w:vAlign w:val="center"/>
          </w:tcPr>
          <w:p>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color w:val="auto"/>
                <w:sz w:val="24"/>
                <w:lang w:val="en-US" w:eastAsia="zh-CN"/>
              </w:rPr>
              <w:t>五十、社会事业与服务业-</w:t>
            </w:r>
            <w:r>
              <w:rPr>
                <w:rFonts w:hint="eastAsia"/>
                <w:color w:val="auto"/>
                <w:sz w:val="24"/>
              </w:rPr>
              <w:t>1</w:t>
            </w:r>
            <w:r>
              <w:rPr>
                <w:rFonts w:hint="eastAsia"/>
                <w:color w:val="auto"/>
                <w:sz w:val="24"/>
                <w:lang w:val="en-US" w:eastAsia="zh-CN"/>
              </w:rPr>
              <w:t>22</w:t>
            </w:r>
            <w:r>
              <w:rPr>
                <w:rFonts w:hint="eastAsia"/>
                <w:color w:val="auto"/>
                <w:sz w:val="24"/>
              </w:rPr>
              <w:t>殡仪馆、陵园、公墓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建设性质</w:t>
            </w:r>
          </w:p>
        </w:tc>
        <w:tc>
          <w:tcPr>
            <w:tcW w:w="1021" w:type="pct"/>
            <w:vAlign w:val="center"/>
          </w:tcPr>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sym w:font="Wingdings 2" w:char="0052"/>
            </w:r>
            <w:r>
              <w:rPr>
                <w:rFonts w:hint="eastAsia" w:ascii="宋体" w:hAnsi="宋体" w:cs="宋体"/>
                <w:color w:val="auto"/>
                <w:sz w:val="24"/>
              </w:rPr>
              <w:t>新建（迁建）</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t>□改建</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t>□扩建</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t>□技术改造</w:t>
            </w:r>
          </w:p>
        </w:tc>
        <w:tc>
          <w:tcPr>
            <w:tcW w:w="984"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申报情形</w:t>
            </w:r>
          </w:p>
        </w:tc>
        <w:tc>
          <w:tcPr>
            <w:tcW w:w="1595" w:type="pct"/>
            <w:vAlign w:val="center"/>
          </w:tcPr>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首次申报项目</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不予批准后再次申报项目</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超五年重新审核项目</w:t>
            </w:r>
          </w:p>
          <w:p>
            <w:pPr>
              <w:keepNext w:val="0"/>
              <w:keepLines w:val="0"/>
              <w:suppressLineNumbers w:val="0"/>
              <w:spacing w:before="0" w:beforeAutospacing="0" w:after="0" w:afterAutospacing="0"/>
              <w:ind w:left="0" w:right="0"/>
              <w:jc w:val="left"/>
              <w:rPr>
                <w:rFonts w:hint="eastAsia" w:ascii="宋体" w:hAnsi="宋体" w:cs="宋体"/>
                <w:color w:val="auto"/>
                <w:sz w:val="24"/>
              </w:rPr>
            </w:pPr>
            <w:r>
              <w:rPr>
                <w:rFonts w:hint="eastAsia" w:ascii="宋体" w:hAnsi="宋体" w:cs="宋体"/>
                <w:color w:val="auto"/>
                <w:sz w:val="24"/>
              </w:rPr>
              <w:sym w:font="Wingdings 2" w:char="0052"/>
            </w:r>
            <w:r>
              <w:rPr>
                <w:rFonts w:hint="eastAsia" w:ascii="宋体" w:hAnsi="宋体" w:cs="宋体"/>
                <w:color w:val="auto"/>
                <w:sz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项目审批（核准/</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备案）部门（选填）</w:t>
            </w:r>
          </w:p>
        </w:tc>
        <w:tc>
          <w:tcPr>
            <w:tcW w:w="1021"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五台县行政审批服务管理局</w:t>
            </w:r>
          </w:p>
        </w:tc>
        <w:tc>
          <w:tcPr>
            <w:tcW w:w="984" w:type="pct"/>
            <w:vAlign w:val="center"/>
          </w:tcPr>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z w:val="24"/>
              </w:rPr>
              <w:t>项目审批（核准/</w:t>
            </w:r>
          </w:p>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z w:val="24"/>
              </w:rPr>
              <w:t>备案）文号（选填）</w:t>
            </w:r>
          </w:p>
        </w:tc>
        <w:tc>
          <w:tcPr>
            <w:tcW w:w="1595"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可研批复：</w:t>
            </w:r>
            <w:r>
              <w:rPr>
                <w:rFonts w:hint="eastAsia"/>
                <w:color w:val="auto"/>
                <w:sz w:val="24"/>
              </w:rPr>
              <w:t>五审管函[202</w:t>
            </w:r>
            <w:r>
              <w:rPr>
                <w:rFonts w:hint="eastAsia"/>
                <w:color w:val="auto"/>
                <w:sz w:val="24"/>
                <w:lang w:val="en-US" w:eastAsia="zh-CN"/>
              </w:rPr>
              <w:t>2</w:t>
            </w:r>
            <w:r>
              <w:rPr>
                <w:rFonts w:hint="eastAsia"/>
                <w:color w:val="auto"/>
                <w:sz w:val="24"/>
              </w:rPr>
              <w:t>]</w:t>
            </w:r>
            <w:r>
              <w:rPr>
                <w:rFonts w:hint="eastAsia"/>
                <w:color w:val="auto"/>
                <w:sz w:val="24"/>
                <w:lang w:val="en-US" w:eastAsia="zh-CN"/>
              </w:rPr>
              <w:t>8</w:t>
            </w:r>
            <w:r>
              <w:rPr>
                <w:rFonts w:hint="eastAsia"/>
                <w:color w:val="auto"/>
                <w:sz w:val="24"/>
              </w:rPr>
              <w:t>号</w:t>
            </w:r>
            <w:r>
              <w:rPr>
                <w:rFonts w:hint="eastAsia"/>
                <w:color w:val="auto"/>
                <w:sz w:val="24"/>
                <w:lang w:eastAsia="zh-CN"/>
              </w:rPr>
              <w:t>：</w:t>
            </w:r>
            <w:r>
              <w:rPr>
                <w:rFonts w:hint="eastAsia"/>
                <w:color w:val="auto"/>
                <w:sz w:val="24"/>
                <w:lang w:val="en-US" w:eastAsia="zh-CN"/>
              </w:rPr>
              <w:t>初步设计批复：</w:t>
            </w:r>
            <w:r>
              <w:rPr>
                <w:rFonts w:hint="eastAsia"/>
                <w:color w:val="auto"/>
                <w:sz w:val="24"/>
              </w:rPr>
              <w:t>五审管函[202</w:t>
            </w:r>
            <w:r>
              <w:rPr>
                <w:rFonts w:hint="eastAsia"/>
                <w:color w:val="auto"/>
                <w:sz w:val="24"/>
                <w:lang w:val="en-US" w:eastAsia="zh-CN"/>
              </w:rPr>
              <w:t>2</w:t>
            </w:r>
            <w:r>
              <w:rPr>
                <w:rFonts w:hint="eastAsia"/>
                <w:color w:val="auto"/>
                <w:sz w:val="24"/>
              </w:rPr>
              <w:t>]</w:t>
            </w:r>
            <w:r>
              <w:rPr>
                <w:rFonts w:hint="eastAsia"/>
                <w:color w:val="auto"/>
                <w:sz w:val="24"/>
                <w:lang w:val="en-US" w:eastAsia="zh-CN"/>
              </w:rPr>
              <w:t>14</w:t>
            </w:r>
            <w:r>
              <w:rPr>
                <w:rFonts w:hint="eastAsia"/>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总投资（万元）</w:t>
            </w:r>
          </w:p>
        </w:tc>
        <w:tc>
          <w:tcPr>
            <w:tcW w:w="1021"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3762.88</w:t>
            </w:r>
          </w:p>
        </w:tc>
        <w:tc>
          <w:tcPr>
            <w:tcW w:w="984"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z w:val="24"/>
              </w:rPr>
              <w:t>环保投资（万元）</w:t>
            </w:r>
          </w:p>
        </w:tc>
        <w:tc>
          <w:tcPr>
            <w:tcW w:w="1595"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环保投资占比（%）</w:t>
            </w:r>
          </w:p>
        </w:tc>
        <w:tc>
          <w:tcPr>
            <w:tcW w:w="1021"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3.06</w:t>
            </w:r>
          </w:p>
        </w:tc>
        <w:tc>
          <w:tcPr>
            <w:tcW w:w="984"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z w:val="24"/>
              </w:rPr>
              <w:t>施工工期</w:t>
            </w:r>
          </w:p>
        </w:tc>
        <w:tc>
          <w:tcPr>
            <w:tcW w:w="1595"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lang w:val="en-US" w:eastAsia="zh-CN"/>
              </w:rPr>
              <w:t>18</w:t>
            </w:r>
            <w:r>
              <w:rPr>
                <w:rFonts w:hint="eastAsia"/>
                <w:color w:val="auto"/>
                <w:sz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pct"/>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sz w:val="24"/>
              </w:rPr>
            </w:pPr>
            <w:r>
              <w:rPr>
                <w:rFonts w:hint="eastAsia" w:ascii="宋体" w:hAnsi="宋体" w:cs="宋体"/>
                <w:b/>
                <w:bCs/>
                <w:color w:val="auto"/>
                <w:sz w:val="24"/>
              </w:rPr>
              <w:t>是否开工建设</w:t>
            </w:r>
          </w:p>
        </w:tc>
        <w:tc>
          <w:tcPr>
            <w:tcW w:w="1021" w:type="pct"/>
            <w:vAlign w:val="center"/>
          </w:tcPr>
          <w:p>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color w:val="auto"/>
                <w:sz w:val="24"/>
              </w:rPr>
              <w:sym w:font="Wingdings 2" w:char="0052"/>
            </w:r>
            <w:r>
              <w:rPr>
                <w:rFonts w:hint="eastAsia"/>
                <w:color w:val="auto"/>
                <w:sz w:val="24"/>
              </w:rPr>
              <w:t>否</w:t>
            </w:r>
          </w:p>
          <w:p>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color w:val="auto"/>
                <w:sz w:val="24"/>
              </w:rPr>
              <w:sym w:font="Wingdings 2" w:char="00A3"/>
            </w:r>
            <w:r>
              <w:rPr>
                <w:rFonts w:hint="eastAsia"/>
                <w:color w:val="auto"/>
                <w:sz w:val="24"/>
              </w:rPr>
              <w:t>是：</w:t>
            </w:r>
            <w:r>
              <w:rPr>
                <w:rFonts w:hint="eastAsia"/>
                <w:color w:val="auto"/>
                <w:sz w:val="24"/>
                <w:u w:val="single"/>
              </w:rPr>
              <w:t xml:space="preserve">             </w:t>
            </w:r>
          </w:p>
        </w:tc>
        <w:tc>
          <w:tcPr>
            <w:tcW w:w="984"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b/>
                <w:bCs/>
                <w:color w:val="auto"/>
                <w:spacing w:val="-6"/>
                <w:sz w:val="24"/>
              </w:rPr>
            </w:pPr>
            <w:r>
              <w:rPr>
                <w:rFonts w:hint="eastAsia"/>
                <w:b/>
                <w:bCs/>
                <w:color w:val="auto"/>
                <w:spacing w:val="-6"/>
                <w:sz w:val="24"/>
              </w:rPr>
              <w:t>用地（用海）</w:t>
            </w:r>
          </w:p>
          <w:p>
            <w:pPr>
              <w:keepNext w:val="0"/>
              <w:keepLines w:val="0"/>
              <w:suppressLineNumbers w:val="0"/>
              <w:adjustRightInd w:val="0"/>
              <w:snapToGrid w:val="0"/>
              <w:spacing w:before="0" w:beforeAutospacing="0" w:after="0" w:afterAutospacing="0"/>
              <w:ind w:left="0" w:right="0"/>
              <w:jc w:val="center"/>
              <w:rPr>
                <w:rFonts w:hint="eastAsia"/>
                <w:b/>
                <w:bCs/>
                <w:color w:val="auto"/>
                <w:sz w:val="24"/>
              </w:rPr>
            </w:pPr>
            <w:r>
              <w:rPr>
                <w:rFonts w:hint="eastAsia"/>
                <w:b/>
                <w:bCs/>
                <w:color w:val="auto"/>
                <w:spacing w:val="-6"/>
                <w:sz w:val="24"/>
              </w:rPr>
              <w:t>面积（m</w:t>
            </w:r>
            <w:r>
              <w:rPr>
                <w:rFonts w:hint="eastAsia"/>
                <w:b/>
                <w:bCs/>
                <w:color w:val="auto"/>
                <w:spacing w:val="-6"/>
                <w:sz w:val="24"/>
                <w:vertAlign w:val="superscript"/>
              </w:rPr>
              <w:t>2</w:t>
            </w:r>
            <w:r>
              <w:rPr>
                <w:rFonts w:hint="eastAsia"/>
                <w:b/>
                <w:bCs/>
                <w:color w:val="auto"/>
                <w:spacing w:val="-6"/>
                <w:sz w:val="24"/>
              </w:rPr>
              <w:t>）</w:t>
            </w:r>
          </w:p>
        </w:tc>
        <w:tc>
          <w:tcPr>
            <w:tcW w:w="1595"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23123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50" w:type="pct"/>
            <w:gridSpan w:val="2"/>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b/>
                <w:bCs/>
                <w:color w:val="auto"/>
                <w:kern w:val="0"/>
                <w:sz w:val="24"/>
              </w:rPr>
            </w:pPr>
            <w:r>
              <w:rPr>
                <w:rFonts w:hint="eastAsia" w:ascii="宋体" w:hAnsi="宋体" w:cs="宋体"/>
                <w:b/>
                <w:bCs/>
                <w:color w:val="auto"/>
                <w:kern w:val="0"/>
                <w:sz w:val="24"/>
              </w:rPr>
              <w:t>专项评价设置情况</w:t>
            </w:r>
          </w:p>
        </w:tc>
        <w:tc>
          <w:tcPr>
            <w:tcW w:w="4349" w:type="pct"/>
            <w:gridSpan w:val="4"/>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kern w:val="0"/>
                <w:sz w:val="24"/>
                <w:szCs w:val="24"/>
                <w:lang w:val="en-US" w:eastAsia="zh-CN"/>
              </w:rPr>
            </w:pPr>
            <w:r>
              <w:rPr>
                <w:rFonts w:hint="eastAsia" w:cs="Times New Roman"/>
                <w:b w:val="0"/>
                <w:bCs w:val="0"/>
                <w:color w:val="auto"/>
                <w:kern w:val="0"/>
                <w:sz w:val="24"/>
                <w:szCs w:val="24"/>
                <w:lang w:val="en-US" w:eastAsia="zh-CN"/>
              </w:rPr>
              <w:t>根据《建设项目环境影响评价分类管理名录（2021年版）》-五十、社会事业与服务业-122殡仪馆、陵园、公墓中环评类别确定依据，殡仪馆项目（无论是否涉及环境敏感区）环评类别为报告表；陵园、公墓涉及环境敏感区的，环评类别为报告表。本项目为殡仪馆建设项目，环评类别为报告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cs="Times New Roman"/>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大气：</w:t>
            </w:r>
            <w:r>
              <w:rPr>
                <w:rFonts w:hint="default" w:ascii="Times New Roman" w:hAnsi="Times New Roman" w:cs="Times New Roman"/>
                <w:color w:val="auto"/>
                <w:kern w:val="0"/>
                <w:sz w:val="24"/>
                <w:szCs w:val="24"/>
                <w:lang w:val="en-US" w:eastAsia="zh-CN"/>
              </w:rPr>
              <w:t>本项目火化机废气、遗物祭品焚烧炉废气中污染物包括颗粒物、SO</w:t>
            </w:r>
            <w:r>
              <w:rPr>
                <w:rFonts w:hint="default" w:ascii="Times New Roman" w:hAnsi="Times New Roman" w:cs="Times New Roman"/>
                <w:color w:val="auto"/>
                <w:kern w:val="0"/>
                <w:sz w:val="24"/>
                <w:szCs w:val="24"/>
                <w:vertAlign w:val="subscript"/>
                <w:lang w:val="en-US" w:eastAsia="zh-CN"/>
              </w:rPr>
              <w:t>2</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NO</w:t>
            </w:r>
            <w:r>
              <w:rPr>
                <w:rFonts w:hint="eastAsia" w:cs="Times New Roman"/>
                <w:color w:val="auto"/>
                <w:kern w:val="0"/>
                <w:sz w:val="24"/>
                <w:szCs w:val="24"/>
                <w:vertAlign w:val="subscript"/>
                <w:lang w:val="en-US" w:eastAsia="zh-CN"/>
              </w:rPr>
              <w:t>x</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CO</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HCl</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汞</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二噁英类等，排放废气中含有毒有害污染物；</w:t>
            </w:r>
            <w:r>
              <w:rPr>
                <w:rFonts w:hint="eastAsia"/>
                <w:b w:val="0"/>
                <w:bCs/>
                <w:color w:val="auto"/>
                <w:sz w:val="24"/>
                <w:lang w:val="en-US" w:eastAsia="zh-CN"/>
              </w:rPr>
              <w:t>本项目拟建场址位于</w:t>
            </w:r>
            <w:r>
              <w:rPr>
                <w:rFonts w:hint="eastAsia"/>
                <w:b w:val="0"/>
                <w:bCs/>
                <w:color w:val="auto"/>
                <w:sz w:val="24"/>
              </w:rPr>
              <w:t>山西省忻州市五台县沟南乡南山村，</w:t>
            </w:r>
            <w:r>
              <w:rPr>
                <w:rFonts w:hint="eastAsia" w:cs="Times New Roman"/>
                <w:color w:val="auto"/>
                <w:kern w:val="0"/>
                <w:sz w:val="24"/>
                <w:szCs w:val="24"/>
                <w:lang w:val="en-US" w:eastAsia="zh-CN"/>
              </w:rPr>
              <w:t>沟南乡南山村因水电路不通，1995年已成空壳村，属于自然移民，已全部移民至北侧约2400m的松台村；距本项目拟建场址最近的居住区为距场址东南侧约1450m的黑虎岔村；因此本项目厂址500范围内无环境空气保护目标，无需设置大气专项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cs="Times New Roman"/>
                <w:color w:val="auto"/>
                <w:kern w:val="0"/>
                <w:sz w:val="24"/>
                <w:szCs w:val="24"/>
                <w:lang w:val="en-US" w:eastAsia="zh-CN"/>
              </w:rPr>
            </w:pPr>
            <w:r>
              <w:rPr>
                <w:rFonts w:hint="eastAsia" w:cs="Times New Roman"/>
                <w:b/>
                <w:bCs/>
                <w:color w:val="auto"/>
                <w:kern w:val="0"/>
                <w:sz w:val="24"/>
                <w:szCs w:val="24"/>
                <w:lang w:val="en-US" w:eastAsia="zh-CN"/>
              </w:rPr>
              <w:t>地表水：</w:t>
            </w:r>
            <w:r>
              <w:rPr>
                <w:rFonts w:hint="eastAsia" w:cs="Times New Roman"/>
                <w:color w:val="auto"/>
                <w:kern w:val="0"/>
                <w:sz w:val="24"/>
                <w:szCs w:val="24"/>
                <w:lang w:val="en-US" w:eastAsia="zh-CN"/>
              </w:rPr>
              <w:t>本项目产生的遗体处置清洗、消毒废水，专用殡仪车辆清洗、消毒废水以及地坪清洗废水中的直接冲洗废水，经消毒池预处理后，与其他生活污水一同进入自建污水处理站处理。本项目产生的废水经污水处理站处理后非采暖期（5月至10月）可用于道路浇洒及绿化浇灌，采暖期（11月-4月）定期统一由罐车抽送至五台县生活污水处理厂。本项目无废水直排，无需设置地表水专项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cs="Times New Roman"/>
                <w:color w:val="auto"/>
                <w:kern w:val="0"/>
                <w:sz w:val="24"/>
                <w:szCs w:val="24"/>
                <w:lang w:val="en-US" w:eastAsia="zh-CN"/>
              </w:rPr>
            </w:pPr>
            <w:r>
              <w:rPr>
                <w:rFonts w:hint="eastAsia" w:cs="Times New Roman"/>
                <w:b/>
                <w:bCs/>
                <w:color w:val="auto"/>
                <w:kern w:val="0"/>
                <w:sz w:val="24"/>
                <w:szCs w:val="24"/>
                <w:lang w:val="en-US" w:eastAsia="zh-CN"/>
              </w:rPr>
              <w:t>环境风险：</w:t>
            </w:r>
            <w:r>
              <w:rPr>
                <w:rFonts w:hint="eastAsia" w:cs="Times New Roman"/>
                <w:color w:val="auto"/>
                <w:kern w:val="0"/>
                <w:sz w:val="24"/>
                <w:szCs w:val="24"/>
                <w:lang w:val="en-US" w:eastAsia="zh-CN"/>
              </w:rPr>
              <w:t>本项目遗体火化使用燃料为轻质柴油，此外备用发电机以及遗物祭品焚烧引燃、助燃消耗少量的柴油；本项目拟在靠近火化间的西侧空地修建柴油储罐区，配套一个地埋式柴油储罐，最大存储量为10t；根据《建设项目环境风险评价技术导则》（HJ 169－2018）附录B表B.1突发环境事件风险物质及临界量，汽油、柴油输油类物质（矿物油类，如石油、汽油、柴油等；生物柴油等），其临界量为2500t；本项目涉及的危险物质存储量未超过临界量，无需设置环境风险专项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cs="Times New Roman"/>
                <w:color w:val="auto"/>
                <w:kern w:val="0"/>
                <w:sz w:val="21"/>
                <w:szCs w:val="21"/>
                <w:lang w:val="en-US" w:eastAsia="zh-CN"/>
              </w:rPr>
            </w:pPr>
            <w:r>
              <w:rPr>
                <w:rFonts w:hint="eastAsia" w:cs="Times New Roman"/>
                <w:b/>
                <w:bCs/>
                <w:color w:val="auto"/>
                <w:kern w:val="0"/>
                <w:sz w:val="24"/>
                <w:szCs w:val="24"/>
                <w:lang w:val="en-US" w:eastAsia="zh-CN"/>
              </w:rPr>
              <w:t>生态：</w:t>
            </w:r>
            <w:r>
              <w:rPr>
                <w:rFonts w:hint="eastAsia" w:cs="Times New Roman"/>
                <w:color w:val="auto"/>
                <w:kern w:val="0"/>
                <w:sz w:val="24"/>
                <w:szCs w:val="24"/>
                <w:lang w:val="en-US" w:eastAsia="zh-CN"/>
              </w:rPr>
              <w:t>本项目无取水口，不属于取水口下游500米范围内有重要水生生物的自然产卵场、索饵场、越冬场和洄游通道的新增河道取水的污染类建设项目；无需设置生态专题。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50" w:type="pct"/>
            <w:gridSpan w:val="2"/>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b/>
                <w:bCs/>
                <w:color w:val="auto"/>
                <w:kern w:val="0"/>
                <w:sz w:val="24"/>
              </w:rPr>
            </w:pPr>
            <w:r>
              <w:rPr>
                <w:rFonts w:hint="eastAsia" w:ascii="宋体" w:hAnsi="宋体" w:cs="宋体"/>
                <w:b/>
                <w:bCs/>
                <w:color w:val="auto"/>
                <w:sz w:val="24"/>
              </w:rPr>
              <w:t>规划情况</w:t>
            </w:r>
          </w:p>
        </w:tc>
        <w:tc>
          <w:tcPr>
            <w:tcW w:w="4349" w:type="pct"/>
            <w:gridSpan w:val="4"/>
            <w:vAlign w:val="center"/>
          </w:tcPr>
          <w:p>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无</w:t>
            </w:r>
            <w:r>
              <w:rPr>
                <w:rFonts w:hint="eastAsia" w:cs="Times New Roman"/>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50" w:type="pct"/>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
                <w:bCs/>
                <w:color w:val="auto"/>
                <w:kern w:val="0"/>
                <w:sz w:val="24"/>
              </w:rPr>
            </w:pPr>
            <w:r>
              <w:rPr>
                <w:rFonts w:hint="eastAsia" w:ascii="宋体" w:hAnsi="宋体" w:cs="宋体"/>
                <w:b/>
                <w:bCs/>
                <w:color w:val="auto"/>
                <w:sz w:val="24"/>
              </w:rPr>
              <w:t>规划环境影响评价情况</w:t>
            </w:r>
          </w:p>
        </w:tc>
        <w:tc>
          <w:tcPr>
            <w:tcW w:w="4349" w:type="pct"/>
            <w:gridSpan w:val="4"/>
            <w:vAlign w:val="center"/>
          </w:tcPr>
          <w:p>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无</w:t>
            </w:r>
            <w:r>
              <w:rPr>
                <w:rFonts w:hint="eastAsia" w:cs="Times New Roman"/>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50" w:type="pct"/>
            <w:gridSpan w:val="2"/>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kern w:val="0"/>
                <w:sz w:val="24"/>
              </w:rPr>
            </w:pPr>
            <w:r>
              <w:rPr>
                <w:rFonts w:hint="eastAsia" w:ascii="宋体" w:hAnsi="宋体" w:cs="宋体"/>
                <w:b/>
                <w:bCs/>
                <w:color w:val="auto"/>
                <w:kern w:val="0"/>
                <w:sz w:val="24"/>
              </w:rPr>
              <w:t>规划及规划环境影响评价符合性分析</w:t>
            </w:r>
          </w:p>
        </w:tc>
        <w:tc>
          <w:tcPr>
            <w:tcW w:w="4349" w:type="pct"/>
            <w:gridSpan w:val="4"/>
            <w:vAlign w:val="center"/>
          </w:tcPr>
          <w:p>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无</w:t>
            </w:r>
            <w:r>
              <w:rPr>
                <w:rFonts w:hint="eastAsia" w:cs="Times New Roman"/>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1"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kern w:val="0"/>
                <w:sz w:val="24"/>
              </w:rPr>
            </w:pPr>
            <w:r>
              <w:rPr>
                <w:rFonts w:hint="eastAsia" w:ascii="宋体" w:hAnsi="宋体" w:cs="宋体"/>
                <w:b/>
                <w:bCs/>
                <w:color w:val="auto"/>
                <w:kern w:val="0"/>
                <w:sz w:val="24"/>
              </w:rPr>
              <w:t>其他符合性分析</w:t>
            </w:r>
          </w:p>
        </w:tc>
        <w:tc>
          <w:tcPr>
            <w:tcW w:w="4748" w:type="pct"/>
            <w:gridSpan w:val="5"/>
            <w:vAlign w:val="center"/>
          </w:tcPr>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1、“三线一单”符合性分析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（1）与生态保护红线的符合性分析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s="宋体"/>
                <w:color w:val="auto"/>
                <w:kern w:val="0"/>
                <w:sz w:val="24"/>
              </w:rPr>
              <w:t>根据《生态保护红线划定技术指南》，山西省生态保护红线可能涉及的区域主要包括水源涵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sz w:val="24"/>
              </w:rPr>
              <w:t>本项目位于山西省忻州市五台县</w:t>
            </w:r>
            <w:r>
              <w:rPr>
                <w:rFonts w:hint="eastAsia"/>
                <w:color w:val="auto"/>
                <w:sz w:val="24"/>
                <w:lang w:val="en-US" w:eastAsia="zh-CN"/>
              </w:rPr>
              <w:t>沟南</w:t>
            </w:r>
            <w:r>
              <w:rPr>
                <w:rFonts w:hint="eastAsia"/>
                <w:color w:val="auto"/>
                <w:sz w:val="24"/>
              </w:rPr>
              <w:t>乡</w:t>
            </w:r>
            <w:r>
              <w:rPr>
                <w:rFonts w:hint="eastAsia"/>
                <w:color w:val="auto"/>
                <w:sz w:val="24"/>
                <w:lang w:val="en-US" w:eastAsia="zh-CN"/>
              </w:rPr>
              <w:t>南山</w:t>
            </w:r>
            <w:r>
              <w:rPr>
                <w:rFonts w:hint="eastAsia"/>
                <w:color w:val="auto"/>
                <w:sz w:val="24"/>
              </w:rPr>
              <w:t>村，根据山西省“三线一单”图集中的忻州市五台县综合管控单元图，本项目位于优先保护单元中的五台县</w:t>
            </w:r>
            <w:r>
              <w:rPr>
                <w:rFonts w:hint="eastAsia"/>
                <w:color w:val="auto"/>
                <w:sz w:val="24"/>
                <w:lang w:val="en-US" w:eastAsia="zh-CN"/>
              </w:rPr>
              <w:t>盆地河流生态廊道一般生态空间优先</w:t>
            </w:r>
            <w:r>
              <w:rPr>
                <w:rFonts w:hint="eastAsia"/>
                <w:color w:val="auto"/>
                <w:sz w:val="24"/>
              </w:rPr>
              <w:t>保护单元。忻州市五台县综合管控单元图见附图4。</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山西省人民政府关于实施“三线一单”生态环境分区管控的意见》（晋政发[2020]26号）以及《忻州市人民政府关于印发忻州市“三线一单”生态环境分区管控实施方案的通知》（忻政发[2021]12号），本项目与优先保护单元</w:t>
            </w:r>
            <w:r>
              <w:rPr>
                <w:rFonts w:hint="eastAsia"/>
                <w:color w:val="auto"/>
                <w:sz w:val="24"/>
                <w:lang w:val="en-US" w:eastAsia="zh-CN"/>
              </w:rPr>
              <w:t>管控要求</w:t>
            </w:r>
            <w:r>
              <w:rPr>
                <w:rFonts w:hint="eastAsia"/>
                <w:color w:val="auto"/>
                <w:sz w:val="24"/>
              </w:rPr>
              <w:t>的符合性分析见下表。</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color w:val="auto"/>
                <w:kern w:val="0"/>
                <w:sz w:val="24"/>
              </w:rPr>
            </w:pPr>
            <w:r>
              <w:rPr>
                <w:rFonts w:hint="eastAsia" w:ascii="黑体" w:hAnsi="黑体" w:eastAsia="黑体" w:cs="宋体"/>
                <w:color w:val="auto"/>
                <w:kern w:val="0"/>
                <w:sz w:val="24"/>
              </w:rPr>
              <w:t>表1-1  与《山西省人民政府关于实施“三线一单”生态环境分区管控的意见》中优先保护单元</w:t>
            </w:r>
            <w:r>
              <w:rPr>
                <w:rFonts w:hint="eastAsia" w:ascii="黑体" w:hAnsi="黑体" w:eastAsia="黑体" w:cs="宋体"/>
                <w:color w:val="auto"/>
                <w:kern w:val="0"/>
                <w:sz w:val="24"/>
                <w:lang w:val="en-US" w:eastAsia="zh-CN"/>
              </w:rPr>
              <w:t>管控要求</w:t>
            </w:r>
            <w:r>
              <w:rPr>
                <w:rFonts w:hint="eastAsia" w:ascii="黑体" w:hAnsi="黑体" w:eastAsia="黑体" w:cs="宋体"/>
                <w:color w:val="auto"/>
                <w:kern w:val="0"/>
                <w:sz w:val="24"/>
              </w:rPr>
              <w:t>的符合性分析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6"/>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02"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优先保护单元要求</w:t>
                  </w:r>
                </w:p>
              </w:tc>
              <w:tc>
                <w:tcPr>
                  <w:tcW w:w="2897"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102"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依法禁止或限制大规模、高强度的工业和城镇开发建设，在功能受损的优先保护单元优先开展生态保护修复活动，恢复生态系统服务功能。</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加强太行山、吕梁山和沿黄水土流失生态脆弱区域生态保护红线和重要生态空间的保护，依法禁止或限制大规模开发，严格矿山开采等产业准入，加强矿区的生态治理与修复，提高水源涵养能力，保护森林生态系统，有效减少泥沙入河。</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在汾河、桑干河、大清河、滹沱河、漳河、沁河和涑水河等河流谷地，晋阳湖、漳泽湖、云竹湖、盐湖、伍姓湖等“五湖”生态保护与修复区域，“黄河、长城、太行”旅游产业布局区以及人居环境敏感区，严控重污染行业产能规模，推进产业布局与生态空间协调发展。</w:t>
                  </w:r>
                </w:p>
              </w:tc>
              <w:tc>
                <w:tcPr>
                  <w:tcW w:w="2897"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lang w:val="en-US" w:eastAsia="zh-CN"/>
                    </w:rPr>
                  </w:pPr>
                  <w:r>
                    <w:rPr>
                      <w:rFonts w:hint="eastAsia" w:cs="宋体"/>
                      <w:color w:val="auto"/>
                      <w:kern w:val="0"/>
                      <w:szCs w:val="21"/>
                    </w:rPr>
                    <w:t>本项目位于优先保护单元中的五台县</w:t>
                  </w:r>
                  <w:r>
                    <w:rPr>
                      <w:rFonts w:hint="eastAsia" w:cs="宋体"/>
                      <w:color w:val="auto"/>
                      <w:kern w:val="0"/>
                      <w:szCs w:val="21"/>
                      <w:lang w:val="en-US" w:eastAsia="zh-CN"/>
                    </w:rPr>
                    <w:t>盆地河流生态廊道一般生态空间优先</w:t>
                  </w:r>
                  <w:r>
                    <w:rPr>
                      <w:rFonts w:hint="eastAsia" w:cs="宋体"/>
                      <w:color w:val="auto"/>
                      <w:kern w:val="0"/>
                      <w:szCs w:val="21"/>
                    </w:rPr>
                    <w:t>保护单元；</w:t>
                  </w:r>
                  <w:r>
                    <w:rPr>
                      <w:rFonts w:hint="eastAsia" w:cs="宋体"/>
                      <w:color w:val="auto"/>
                      <w:kern w:val="0"/>
                      <w:szCs w:val="21"/>
                      <w:lang w:val="en-US" w:eastAsia="zh-CN"/>
                    </w:rPr>
                    <w:t>本项目为殡仪馆建设项目，</w:t>
                  </w:r>
                  <w:r>
                    <w:rPr>
                      <w:rFonts w:hint="eastAsia" w:cs="宋体"/>
                      <w:color w:val="auto"/>
                      <w:kern w:val="0"/>
                      <w:szCs w:val="21"/>
                    </w:rPr>
                    <w:t>不属于依法禁止或限制</w:t>
                  </w:r>
                  <w:r>
                    <w:rPr>
                      <w:rFonts w:hint="eastAsia" w:cs="宋体"/>
                      <w:color w:val="auto"/>
                      <w:kern w:val="0"/>
                      <w:szCs w:val="21"/>
                      <w:lang w:val="en-US" w:eastAsia="zh-CN"/>
                    </w:rPr>
                    <w:t>大规模、高强度的工业和城镇开发建设活动，不属于重污染行业。</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default" w:eastAsia="宋体" w:cs="宋体"/>
                      <w:color w:val="auto"/>
                      <w:kern w:val="0"/>
                      <w:szCs w:val="21"/>
                      <w:lang w:val="en-US" w:eastAsia="zh-CN"/>
                    </w:rPr>
                  </w:pPr>
                  <w:r>
                    <w:rPr>
                      <w:rFonts w:hint="eastAsia" w:cs="宋体"/>
                      <w:color w:val="auto"/>
                      <w:kern w:val="0"/>
                      <w:szCs w:val="21"/>
                      <w:lang w:val="en-US" w:eastAsia="zh-CN"/>
                    </w:rPr>
                    <w:t>本项目位于滹沱河东北方向约7.7km处，位于清水河北侧约16.2km处，位于滤泗河西南侧约4.3km处；本项目不位于滹沱河</w:t>
                  </w:r>
                  <w:r>
                    <w:rPr>
                      <w:rFonts w:hint="eastAsia" w:cs="宋体"/>
                      <w:color w:val="auto"/>
                      <w:kern w:val="0"/>
                      <w:szCs w:val="21"/>
                    </w:rPr>
                    <w:t>谷地</w:t>
                  </w:r>
                  <w:r>
                    <w:rPr>
                      <w:rFonts w:hint="eastAsia" w:cs="宋体"/>
                      <w:color w:val="auto"/>
                      <w:kern w:val="0"/>
                      <w:szCs w:val="21"/>
                      <w:lang w:val="en-US" w:eastAsia="zh-CN"/>
                    </w:rPr>
                    <w:t>区域；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符合五台县的国土空间规划。</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lang w:val="en-US" w:eastAsia="zh-CN"/>
                    </w:rPr>
                    <w:t>本</w:t>
                  </w:r>
                  <w:r>
                    <w:rPr>
                      <w:rFonts w:hint="eastAsia" w:cs="宋体"/>
                      <w:color w:val="auto"/>
                      <w:kern w:val="0"/>
                      <w:szCs w:val="21"/>
                    </w:rPr>
                    <w:t>项目场地内通过硬化和绿化措施，可有效减少水土流失，其中绿化率3</w:t>
                  </w:r>
                  <w:r>
                    <w:rPr>
                      <w:rFonts w:hint="eastAsia" w:cs="宋体"/>
                      <w:color w:val="auto"/>
                      <w:kern w:val="0"/>
                      <w:szCs w:val="21"/>
                      <w:lang w:val="en-US" w:eastAsia="zh-CN"/>
                    </w:rPr>
                    <w:t>5</w:t>
                  </w:r>
                  <w:r>
                    <w:rPr>
                      <w:rFonts w:hint="eastAsia" w:cs="宋体"/>
                      <w:color w:val="auto"/>
                      <w:kern w:val="0"/>
                      <w:szCs w:val="21"/>
                    </w:rPr>
                    <w:t>%；项目的建设对区域建立布局合理、功能完善、生态文明的殡葬服务体系，实现殡葬公共服务覆盖全体城乡居民，实现殡葬习俗文明化和殡葬设施现代化具有重要意义；可减少土葬对土地的占用。</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综上所述，本项目基本符合《山西省人民政府关于实施“三线一单”生态环境分区管控的意见》</w:t>
                  </w:r>
                  <w:r>
                    <w:rPr>
                      <w:rFonts w:hint="eastAsia" w:cs="宋体"/>
                      <w:color w:val="auto"/>
                      <w:kern w:val="0"/>
                      <w:szCs w:val="21"/>
                      <w:lang w:val="en-US" w:eastAsia="zh-CN"/>
                    </w:rPr>
                    <w:t>中</w:t>
                  </w:r>
                  <w:r>
                    <w:rPr>
                      <w:rFonts w:hint="eastAsia" w:cs="宋体"/>
                      <w:color w:val="auto"/>
                      <w:kern w:val="0"/>
                      <w:szCs w:val="21"/>
                    </w:rPr>
                    <w:t>优先保护单元的管控要求。</w:t>
                  </w:r>
                </w:p>
              </w:tc>
            </w:tr>
          </w:tbl>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color w:val="auto"/>
                <w:kern w:val="0"/>
                <w:sz w:val="24"/>
              </w:rPr>
            </w:pPr>
            <w:r>
              <w:rPr>
                <w:rFonts w:hint="eastAsia" w:ascii="黑体" w:hAnsi="黑体" w:eastAsia="黑体" w:cs="宋体"/>
                <w:color w:val="auto"/>
                <w:kern w:val="0"/>
                <w:sz w:val="24"/>
              </w:rPr>
              <w:t>表1-</w:t>
            </w:r>
            <w:r>
              <w:rPr>
                <w:rFonts w:hint="eastAsia" w:ascii="黑体" w:hAnsi="黑体" w:eastAsia="黑体" w:cs="宋体"/>
                <w:color w:val="auto"/>
                <w:kern w:val="0"/>
                <w:sz w:val="24"/>
                <w:lang w:val="en-US" w:eastAsia="zh-CN"/>
              </w:rPr>
              <w:t>2</w:t>
            </w:r>
            <w:r>
              <w:rPr>
                <w:rFonts w:hint="eastAsia" w:ascii="黑体" w:hAnsi="黑体" w:eastAsia="黑体" w:cs="宋体"/>
                <w:color w:val="auto"/>
                <w:kern w:val="0"/>
                <w:sz w:val="24"/>
              </w:rPr>
              <w:t xml:space="preserve">  与《</w:t>
            </w:r>
            <w:r>
              <w:rPr>
                <w:rFonts w:hint="eastAsia" w:ascii="黑体" w:hAnsi="黑体" w:eastAsia="黑体" w:cs="宋体"/>
                <w:color w:val="auto"/>
                <w:kern w:val="0"/>
                <w:sz w:val="24"/>
                <w:lang w:val="en-US" w:eastAsia="zh-CN"/>
              </w:rPr>
              <w:t>忻州市</w:t>
            </w:r>
            <w:r>
              <w:rPr>
                <w:rFonts w:hint="eastAsia" w:ascii="黑体" w:hAnsi="黑体" w:eastAsia="黑体" w:cs="宋体"/>
                <w:color w:val="auto"/>
                <w:kern w:val="0"/>
                <w:sz w:val="24"/>
              </w:rPr>
              <w:t>“三线一单”生态环境分区管控</w:t>
            </w:r>
            <w:r>
              <w:rPr>
                <w:rFonts w:hint="eastAsia" w:ascii="黑体" w:hAnsi="黑体" w:eastAsia="黑体" w:cs="宋体"/>
                <w:color w:val="auto"/>
                <w:kern w:val="0"/>
                <w:sz w:val="24"/>
                <w:lang w:val="en-US" w:eastAsia="zh-CN"/>
              </w:rPr>
              <w:t>实施方案</w:t>
            </w:r>
            <w:r>
              <w:rPr>
                <w:rFonts w:hint="eastAsia" w:ascii="黑体" w:hAnsi="黑体" w:eastAsia="黑体" w:cs="宋体"/>
                <w:color w:val="auto"/>
                <w:kern w:val="0"/>
                <w:sz w:val="24"/>
              </w:rPr>
              <w:t>》中优先保护单元</w:t>
            </w:r>
            <w:r>
              <w:rPr>
                <w:rFonts w:hint="eastAsia" w:ascii="黑体" w:hAnsi="黑体" w:eastAsia="黑体" w:cs="宋体"/>
                <w:color w:val="auto"/>
                <w:kern w:val="0"/>
                <w:sz w:val="24"/>
                <w:lang w:val="en-US" w:eastAsia="zh-CN"/>
              </w:rPr>
              <w:t>管控要求</w:t>
            </w:r>
            <w:r>
              <w:rPr>
                <w:rFonts w:hint="eastAsia" w:ascii="黑体" w:hAnsi="黑体" w:eastAsia="黑体" w:cs="宋体"/>
                <w:color w:val="auto"/>
                <w:kern w:val="0"/>
                <w:sz w:val="24"/>
              </w:rPr>
              <w:t>的符合性分析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6"/>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02"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优先保护单元要求</w:t>
                  </w:r>
                </w:p>
              </w:tc>
              <w:tc>
                <w:tcPr>
                  <w:tcW w:w="2897"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cs="宋体"/>
                      <w:color w:val="auto"/>
                      <w:kern w:val="0"/>
                      <w:szCs w:val="21"/>
                    </w:rPr>
                  </w:pPr>
                  <w:r>
                    <w:rPr>
                      <w:rFonts w:hint="eastAsia" w:cs="宋体"/>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102"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以生态环境保护为主，依法禁止或限制大规模、高强度的工业和城镇开发建设，在功能受损的优先保护单元优先开展生态保护修复活动，恢复生态系统服务功能。</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生态保护红线管控原则上按照禁止开发区域的要求进行管理。严禁不符合主体功能定位的各类开发活动，严禁任意改变用途。</w:t>
                  </w:r>
                </w:p>
              </w:tc>
              <w:tc>
                <w:tcPr>
                  <w:tcW w:w="2897"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lang w:val="en-US" w:eastAsia="zh-CN"/>
                    </w:rPr>
                  </w:pPr>
                  <w:r>
                    <w:rPr>
                      <w:rFonts w:hint="eastAsia" w:cs="宋体"/>
                      <w:color w:val="auto"/>
                      <w:kern w:val="0"/>
                      <w:szCs w:val="21"/>
                    </w:rPr>
                    <w:t>本项目位于优先保护单元中的五台县</w:t>
                  </w:r>
                  <w:r>
                    <w:rPr>
                      <w:rFonts w:hint="eastAsia" w:cs="宋体"/>
                      <w:color w:val="auto"/>
                      <w:kern w:val="0"/>
                      <w:szCs w:val="21"/>
                      <w:lang w:val="en-US" w:eastAsia="zh-CN"/>
                    </w:rPr>
                    <w:t>盆地河流生态廊道一般生态空间优先</w:t>
                  </w:r>
                  <w:r>
                    <w:rPr>
                      <w:rFonts w:hint="eastAsia" w:cs="宋体"/>
                      <w:color w:val="auto"/>
                      <w:kern w:val="0"/>
                      <w:szCs w:val="21"/>
                    </w:rPr>
                    <w:t>保护单元；</w:t>
                  </w:r>
                  <w:r>
                    <w:rPr>
                      <w:rFonts w:hint="eastAsia" w:cs="宋体"/>
                      <w:color w:val="auto"/>
                      <w:kern w:val="0"/>
                      <w:szCs w:val="21"/>
                      <w:lang w:val="en-US" w:eastAsia="zh-CN"/>
                    </w:rPr>
                    <w:t>本项目为殡仪馆建设项目，</w:t>
                  </w:r>
                  <w:r>
                    <w:rPr>
                      <w:rFonts w:hint="eastAsia" w:cs="宋体"/>
                      <w:color w:val="auto"/>
                      <w:kern w:val="0"/>
                      <w:szCs w:val="21"/>
                    </w:rPr>
                    <w:t>不属于依法禁止或限制</w:t>
                  </w:r>
                  <w:r>
                    <w:rPr>
                      <w:rFonts w:hint="eastAsia" w:cs="宋体"/>
                      <w:color w:val="auto"/>
                      <w:kern w:val="0"/>
                      <w:szCs w:val="21"/>
                      <w:lang w:val="en-US" w:eastAsia="zh-CN"/>
                    </w:rPr>
                    <w:t>大规模、高强度的工业和城镇开发建设活动，不属于重污染行业。</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lang w:val="en-US" w:eastAsia="zh-CN"/>
                    </w:rPr>
                  </w:pPr>
                  <w:r>
                    <w:rPr>
                      <w:rFonts w:hint="eastAsia" w:cs="宋体"/>
                      <w:color w:val="auto"/>
                      <w:kern w:val="0"/>
                      <w:szCs w:val="21"/>
                      <w:lang w:val="en-US" w:eastAsia="zh-CN"/>
                    </w:rPr>
                    <w:t>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符合五台县的国土空间规划。</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lang w:val="en-US" w:eastAsia="zh-CN"/>
                    </w:rPr>
                    <w:t>本</w:t>
                  </w:r>
                  <w:r>
                    <w:rPr>
                      <w:rFonts w:hint="eastAsia" w:cs="宋体"/>
                      <w:color w:val="auto"/>
                      <w:kern w:val="0"/>
                      <w:szCs w:val="21"/>
                    </w:rPr>
                    <w:t>项目场地内通过硬化和绿化措施，可有效减少水土流失，其中绿化率3</w:t>
                  </w:r>
                  <w:r>
                    <w:rPr>
                      <w:rFonts w:hint="eastAsia" w:cs="宋体"/>
                      <w:color w:val="auto"/>
                      <w:kern w:val="0"/>
                      <w:szCs w:val="21"/>
                      <w:lang w:val="en-US" w:eastAsia="zh-CN"/>
                    </w:rPr>
                    <w:t>5</w:t>
                  </w:r>
                  <w:r>
                    <w:rPr>
                      <w:rFonts w:hint="eastAsia" w:cs="宋体"/>
                      <w:color w:val="auto"/>
                      <w:kern w:val="0"/>
                      <w:szCs w:val="21"/>
                    </w:rPr>
                    <w:t>%；项目的建设对区域建立布局合理、功能完善、生态文明的殡葬服务体系，实现殡葬公共服务覆盖全体城乡居民，实现殡葬习俗文明化和殡葬设施现代化具有重要意义；可减少土葬对土地的占用。</w:t>
                  </w:r>
                </w:p>
                <w:p>
                  <w:pPr>
                    <w:keepNext w:val="0"/>
                    <w:keepLines w:val="0"/>
                    <w:suppressLineNumbers w:val="0"/>
                    <w:autoSpaceDE w:val="0"/>
                    <w:autoSpaceDN w:val="0"/>
                    <w:adjustRightInd w:val="0"/>
                    <w:snapToGrid w:val="0"/>
                    <w:spacing w:before="0" w:beforeAutospacing="0" w:after="0" w:afterAutospacing="0" w:line="360" w:lineRule="exact"/>
                    <w:ind w:left="0" w:right="0" w:firstLine="420" w:firstLineChars="200"/>
                    <w:rPr>
                      <w:rFonts w:hint="eastAsia" w:cs="宋体"/>
                      <w:color w:val="auto"/>
                      <w:kern w:val="0"/>
                      <w:szCs w:val="21"/>
                    </w:rPr>
                  </w:pPr>
                  <w:r>
                    <w:rPr>
                      <w:rFonts w:hint="eastAsia" w:cs="宋体"/>
                      <w:color w:val="auto"/>
                      <w:kern w:val="0"/>
                      <w:szCs w:val="21"/>
                    </w:rPr>
                    <w:t>综上所述，本项目基本符合《忻州市“三线一单”生态环境分区管控实施方案》</w:t>
                  </w:r>
                  <w:r>
                    <w:rPr>
                      <w:rFonts w:hint="eastAsia" w:cs="宋体"/>
                      <w:color w:val="auto"/>
                      <w:kern w:val="0"/>
                      <w:szCs w:val="21"/>
                      <w:lang w:val="en-US" w:eastAsia="zh-CN"/>
                    </w:rPr>
                    <w:t>中</w:t>
                  </w:r>
                  <w:r>
                    <w:rPr>
                      <w:rFonts w:hint="eastAsia" w:cs="宋体"/>
                      <w:color w:val="auto"/>
                      <w:kern w:val="0"/>
                      <w:szCs w:val="21"/>
                    </w:rPr>
                    <w:t>优先保护单元的管控要求。</w:t>
                  </w:r>
                </w:p>
              </w:tc>
            </w:tr>
          </w:tbl>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s="宋体"/>
                <w:color w:val="auto"/>
                <w:kern w:val="0"/>
                <w:sz w:val="24"/>
                <w:lang w:val="en-US" w:eastAsia="zh-CN"/>
              </w:rPr>
            </w:pPr>
            <w:r>
              <w:rPr>
                <w:rFonts w:hint="eastAsia" w:cs="宋体"/>
                <w:color w:val="auto"/>
                <w:kern w:val="0"/>
                <w:sz w:val="24"/>
                <w:lang w:val="en-US" w:eastAsia="zh-CN"/>
              </w:rPr>
              <w:t>由表1-1~2可知</w:t>
            </w:r>
            <w:r>
              <w:rPr>
                <w:rFonts w:hint="eastAsia" w:cs="宋体"/>
                <w:color w:val="auto"/>
                <w:kern w:val="0"/>
                <w:sz w:val="24"/>
              </w:rPr>
              <w:t>，本项目基本符合《山西省人民政府关于实施“三线一单”生态环境分区管控的意见》</w:t>
            </w:r>
            <w:r>
              <w:rPr>
                <w:rFonts w:hint="eastAsia" w:cs="宋体"/>
                <w:color w:val="auto"/>
                <w:kern w:val="0"/>
                <w:sz w:val="24"/>
                <w:lang w:eastAsia="zh-CN"/>
              </w:rPr>
              <w:t>、《</w:t>
            </w:r>
            <w:r>
              <w:rPr>
                <w:rFonts w:hint="eastAsia" w:cs="宋体"/>
                <w:color w:val="auto"/>
                <w:kern w:val="0"/>
                <w:sz w:val="24"/>
                <w:lang w:val="en-US" w:eastAsia="zh-CN"/>
              </w:rPr>
              <w:t>忻州市</w:t>
            </w:r>
            <w:r>
              <w:rPr>
                <w:rFonts w:hint="eastAsia" w:cs="宋体"/>
                <w:color w:val="auto"/>
                <w:kern w:val="0"/>
                <w:sz w:val="24"/>
                <w:lang w:eastAsia="zh-CN"/>
              </w:rPr>
              <w:t>“三线一单”生态环境分区管控</w:t>
            </w:r>
            <w:r>
              <w:rPr>
                <w:rFonts w:hint="eastAsia" w:cs="宋体"/>
                <w:color w:val="auto"/>
                <w:kern w:val="0"/>
                <w:sz w:val="24"/>
                <w:lang w:val="en-US" w:eastAsia="zh-CN"/>
              </w:rPr>
              <w:t>实施方案</w:t>
            </w:r>
            <w:r>
              <w:rPr>
                <w:rFonts w:hint="eastAsia" w:cs="宋体"/>
                <w:color w:val="auto"/>
                <w:kern w:val="0"/>
                <w:sz w:val="24"/>
                <w:lang w:eastAsia="zh-CN"/>
              </w:rPr>
              <w:t>》</w:t>
            </w:r>
            <w:r>
              <w:rPr>
                <w:rFonts w:hint="eastAsia" w:cs="宋体"/>
                <w:color w:val="auto"/>
                <w:kern w:val="0"/>
                <w:sz w:val="24"/>
              </w:rPr>
              <w:t>中优先保护单元的管控要求</w:t>
            </w:r>
            <w:r>
              <w:rPr>
                <w:rFonts w:hint="eastAsia" w:cs="宋体"/>
                <w:color w:val="auto"/>
                <w:kern w:val="0"/>
                <w:sz w:val="24"/>
                <w:lang w:val="en-US" w:eastAsia="zh-CN"/>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（2）与环境质量底线的符合性分析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lang w:val="en-US" w:eastAsia="zh-CN"/>
              </w:rPr>
              <w:t>①</w:t>
            </w:r>
            <w:r>
              <w:rPr>
                <w:rFonts w:hint="eastAsia"/>
                <w:b/>
                <w:bCs/>
                <w:color w:val="auto"/>
                <w:kern w:val="0"/>
                <w:sz w:val="24"/>
              </w:rPr>
              <w:t>环境空气：</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本次环评引用《2020年1-12月份全省县（市、区）环境空气质量主要污染物浓度及同比改善情况》报告中例行监测数据，忻州市五台县2020年SO</w:t>
            </w:r>
            <w:r>
              <w:rPr>
                <w:rFonts w:hint="eastAsia"/>
                <w:color w:val="auto"/>
                <w:kern w:val="0"/>
                <w:sz w:val="24"/>
                <w:vertAlign w:val="subscript"/>
              </w:rPr>
              <w:t>2</w:t>
            </w:r>
            <w:r>
              <w:rPr>
                <w:rFonts w:hint="eastAsia"/>
                <w:color w:val="auto"/>
                <w:kern w:val="0"/>
                <w:sz w:val="24"/>
              </w:rPr>
              <w:t>、NO</w:t>
            </w:r>
            <w:r>
              <w:rPr>
                <w:rFonts w:hint="eastAsia"/>
                <w:color w:val="auto"/>
                <w:kern w:val="0"/>
                <w:sz w:val="24"/>
                <w:vertAlign w:val="subscript"/>
              </w:rPr>
              <w:t>2</w:t>
            </w:r>
            <w:r>
              <w:rPr>
                <w:rFonts w:hint="eastAsia"/>
                <w:color w:val="auto"/>
                <w:kern w:val="0"/>
                <w:sz w:val="24"/>
              </w:rPr>
              <w:t>、PM</w:t>
            </w:r>
            <w:r>
              <w:rPr>
                <w:rFonts w:hint="eastAsia"/>
                <w:color w:val="auto"/>
                <w:kern w:val="0"/>
                <w:sz w:val="24"/>
                <w:vertAlign w:val="subscript"/>
              </w:rPr>
              <w:t>10</w:t>
            </w:r>
            <w:r>
              <w:rPr>
                <w:rFonts w:hint="eastAsia"/>
                <w:color w:val="auto"/>
                <w:kern w:val="0"/>
                <w:sz w:val="24"/>
              </w:rPr>
              <w:t>、PM</w:t>
            </w:r>
            <w:r>
              <w:rPr>
                <w:rFonts w:hint="eastAsia"/>
                <w:color w:val="auto"/>
                <w:kern w:val="0"/>
                <w:sz w:val="24"/>
                <w:vertAlign w:val="subscript"/>
              </w:rPr>
              <w:t>2.5</w:t>
            </w:r>
            <w:r>
              <w:rPr>
                <w:rFonts w:hint="eastAsia"/>
                <w:color w:val="auto"/>
                <w:kern w:val="0"/>
                <w:sz w:val="24"/>
                <w:vertAlign w:val="baseline"/>
                <w:lang w:val="en-US" w:eastAsia="zh-CN"/>
              </w:rPr>
              <w:t>年均浓度</w:t>
            </w:r>
            <w:r>
              <w:rPr>
                <w:rFonts w:hint="eastAsia"/>
                <w:color w:val="auto"/>
                <w:kern w:val="0"/>
                <w:sz w:val="24"/>
              </w:rPr>
              <w:t>、CO</w:t>
            </w:r>
            <w:r>
              <w:rPr>
                <w:rFonts w:hint="eastAsia"/>
                <w:color w:val="auto"/>
                <w:kern w:val="0"/>
                <w:sz w:val="24"/>
                <w:lang w:val="en-US" w:eastAsia="zh-CN"/>
              </w:rPr>
              <w:t xml:space="preserve"> 24小时平均第95百分位数浓度</w:t>
            </w:r>
            <w:r>
              <w:rPr>
                <w:rFonts w:hint="eastAsia"/>
                <w:color w:val="auto"/>
                <w:kern w:val="0"/>
                <w:sz w:val="24"/>
                <w:lang w:eastAsia="zh-CN"/>
              </w:rPr>
              <w:t>、</w:t>
            </w:r>
            <w:r>
              <w:rPr>
                <w:rFonts w:hint="eastAsia"/>
                <w:color w:val="auto"/>
                <w:kern w:val="0"/>
                <w:sz w:val="24"/>
              </w:rPr>
              <w:t>O</w:t>
            </w:r>
            <w:r>
              <w:rPr>
                <w:rFonts w:hint="eastAsia"/>
                <w:color w:val="auto"/>
                <w:kern w:val="0"/>
                <w:sz w:val="24"/>
                <w:vertAlign w:val="subscript"/>
              </w:rPr>
              <w:t>3</w:t>
            </w:r>
            <w:r>
              <w:rPr>
                <w:rFonts w:hint="eastAsia"/>
                <w:color w:val="auto"/>
                <w:kern w:val="0"/>
                <w:sz w:val="24"/>
                <w:lang w:val="en-US" w:eastAsia="zh-CN"/>
              </w:rPr>
              <w:t xml:space="preserve"> 日最大8小时滑动平均第90百分位数浓度</w:t>
            </w:r>
            <w:r>
              <w:rPr>
                <w:rFonts w:hint="eastAsia"/>
                <w:color w:val="auto"/>
                <w:kern w:val="0"/>
                <w:sz w:val="24"/>
              </w:rPr>
              <w:t>均达标，</w:t>
            </w:r>
            <w:r>
              <w:rPr>
                <w:rFonts w:hint="eastAsia"/>
                <w:color w:val="auto"/>
                <w:kern w:val="0"/>
                <w:sz w:val="24"/>
                <w:lang w:val="en-US" w:eastAsia="zh-CN"/>
              </w:rPr>
              <w:t>五台县属于达标区</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kern w:val="0"/>
                <w:sz w:val="24"/>
              </w:rPr>
              <w:t>补充</w:t>
            </w:r>
            <w:r>
              <w:rPr>
                <w:rFonts w:hint="eastAsia"/>
                <w:color w:val="auto"/>
                <w:sz w:val="24"/>
                <w:szCs w:val="32"/>
              </w:rPr>
              <w:t>监测期间</w:t>
            </w:r>
            <w:r>
              <w:rPr>
                <w:rFonts w:hint="eastAsia"/>
                <w:color w:val="auto"/>
                <w:sz w:val="24"/>
                <w:szCs w:val="32"/>
                <w:lang w:eastAsia="zh-CN"/>
              </w:rPr>
              <w:t>（</w:t>
            </w:r>
            <w:r>
              <w:rPr>
                <w:rFonts w:hint="eastAsia"/>
                <w:color w:val="auto"/>
                <w:sz w:val="24"/>
                <w:szCs w:val="32"/>
                <w:lang w:val="en-US" w:eastAsia="zh-CN"/>
              </w:rPr>
              <w:t>2022年2月17日-19日</w:t>
            </w:r>
            <w:r>
              <w:rPr>
                <w:rFonts w:hint="eastAsia"/>
                <w:color w:val="auto"/>
                <w:sz w:val="24"/>
                <w:szCs w:val="32"/>
                <w:lang w:eastAsia="zh-CN"/>
              </w:rPr>
              <w:t>）</w:t>
            </w:r>
            <w:r>
              <w:rPr>
                <w:rFonts w:hint="eastAsia"/>
                <w:color w:val="auto"/>
                <w:sz w:val="24"/>
                <w:szCs w:val="32"/>
              </w:rPr>
              <w:t>，黑虎岔村环境空气中</w:t>
            </w:r>
            <w:r>
              <w:rPr>
                <w:rFonts w:hint="eastAsia"/>
                <w:color w:val="auto"/>
                <w:sz w:val="24"/>
                <w:szCs w:val="32"/>
                <w:lang w:eastAsia="zh-CN"/>
              </w:rPr>
              <w:t>，</w:t>
            </w:r>
            <w:r>
              <w:rPr>
                <w:rFonts w:hint="eastAsia"/>
                <w:color w:val="auto"/>
                <w:sz w:val="24"/>
                <w:szCs w:val="32"/>
              </w:rPr>
              <w:t>Hg为未检出，满足《环境空气质量标准》（GB3095-2012）及其修改单中Hg二级标准限值（0.05</w:t>
            </w:r>
            <w:r>
              <w:rPr>
                <w:rFonts w:hint="default" w:ascii="Times New Roman" w:hAnsi="Times New Roman" w:cs="Times New Roman"/>
                <w:color w:val="auto"/>
              </w:rPr>
              <w:t>μ</w:t>
            </w:r>
            <w:r>
              <w:rPr>
                <w:rFonts w:hint="eastAsia"/>
                <w:color w:val="auto"/>
                <w:sz w:val="24"/>
                <w:szCs w:val="32"/>
              </w:rPr>
              <w:t>g/m</w:t>
            </w:r>
            <w:r>
              <w:rPr>
                <w:rFonts w:hint="eastAsia"/>
                <w:color w:val="auto"/>
                <w:sz w:val="24"/>
                <w:szCs w:val="32"/>
                <w:vertAlign w:val="superscript"/>
              </w:rPr>
              <w:t>3</w:t>
            </w:r>
            <w:r>
              <w:rPr>
                <w:rFonts w:hint="eastAsia"/>
                <w:color w:val="auto"/>
                <w:sz w:val="24"/>
                <w:szCs w:val="32"/>
              </w:rPr>
              <w:t>）要求；氯化氢</w:t>
            </w:r>
            <w:r>
              <w:rPr>
                <w:rFonts w:hint="eastAsia"/>
                <w:color w:val="auto"/>
                <w:sz w:val="24"/>
                <w:szCs w:val="32"/>
                <w:lang w:val="en-US" w:eastAsia="zh-CN"/>
              </w:rPr>
              <w:t>为未检出</w:t>
            </w:r>
            <w:r>
              <w:rPr>
                <w:rFonts w:hint="eastAsia"/>
                <w:color w:val="auto"/>
                <w:sz w:val="24"/>
                <w:szCs w:val="32"/>
              </w:rPr>
              <w:t>，满足《环境影响评价技术导则 大气环境》（HJ 2.2-2018）附录D中氯化氢小时浓度限值（50</w:t>
            </w:r>
            <w:r>
              <w:rPr>
                <w:rFonts w:hint="default" w:ascii="Times New Roman" w:hAnsi="Times New Roman" w:cs="Times New Roman"/>
                <w:color w:val="auto"/>
              </w:rPr>
              <w:t>μ</w:t>
            </w:r>
            <w:r>
              <w:rPr>
                <w:rFonts w:hint="default" w:ascii="Times New Roman" w:hAnsi="Times New Roman" w:cs="Times New Roman"/>
                <w:color w:val="auto"/>
                <w:sz w:val="24"/>
                <w:szCs w:val="32"/>
              </w:rPr>
              <w:t>g</w:t>
            </w:r>
            <w:r>
              <w:rPr>
                <w:rFonts w:hint="eastAsia"/>
                <w:color w:val="auto"/>
                <w:sz w:val="24"/>
                <w:szCs w:val="32"/>
              </w:rPr>
              <w:t>/m</w:t>
            </w:r>
            <w:r>
              <w:rPr>
                <w:rFonts w:hint="eastAsia"/>
                <w:color w:val="auto"/>
                <w:sz w:val="24"/>
                <w:szCs w:val="32"/>
                <w:vertAlign w:val="superscript"/>
              </w:rPr>
              <w:t>3</w:t>
            </w:r>
            <w:r>
              <w:rPr>
                <w:rFonts w:hint="eastAsia"/>
                <w:color w:val="auto"/>
                <w:sz w:val="24"/>
                <w:szCs w:val="32"/>
              </w:rPr>
              <w:t>）要求；二噁英类</w:t>
            </w:r>
            <w:r>
              <w:rPr>
                <w:rFonts w:hint="eastAsia"/>
                <w:bCs/>
                <w:color w:val="auto"/>
                <w:sz w:val="24"/>
                <w:szCs w:val="32"/>
              </w:rPr>
              <w:t>总毒性当量范围为0.057-0.15</w:t>
            </w:r>
            <w:r>
              <w:rPr>
                <w:rFonts w:hint="eastAsia"/>
                <w:color w:val="auto"/>
                <w:sz w:val="24"/>
                <w:szCs w:val="32"/>
              </w:rPr>
              <w:t>TEQpg/m</w:t>
            </w:r>
            <w:r>
              <w:rPr>
                <w:rFonts w:hint="eastAsia"/>
                <w:color w:val="auto"/>
                <w:sz w:val="24"/>
                <w:szCs w:val="32"/>
                <w:vertAlign w:val="superscript"/>
              </w:rPr>
              <w:t>3</w:t>
            </w:r>
            <w:r>
              <w:rPr>
                <w:rFonts w:hint="eastAsia"/>
                <w:color w:val="auto"/>
                <w:sz w:val="24"/>
                <w:szCs w:val="32"/>
              </w:rPr>
              <w:t>之间</w:t>
            </w:r>
            <w:r>
              <w:rPr>
                <w:rFonts w:hint="eastAsia"/>
                <w:bCs/>
                <w:color w:val="auto"/>
                <w:sz w:val="24"/>
                <w:szCs w:val="32"/>
              </w:rPr>
              <w:t>，最大浓度占标率为</w:t>
            </w:r>
            <w:r>
              <w:rPr>
                <w:rFonts w:hint="eastAsia"/>
                <w:color w:val="auto"/>
                <w:sz w:val="24"/>
                <w:szCs w:val="32"/>
              </w:rPr>
              <w:t>12.</w:t>
            </w:r>
            <w:r>
              <w:rPr>
                <w:rFonts w:hint="eastAsia"/>
                <w:color w:val="auto"/>
                <w:sz w:val="24"/>
                <w:szCs w:val="32"/>
                <w:lang w:val="en-US" w:eastAsia="zh-CN"/>
              </w:rPr>
              <w:t>5</w:t>
            </w:r>
            <w:r>
              <w:rPr>
                <w:rFonts w:hint="eastAsia"/>
                <w:color w:val="auto"/>
                <w:sz w:val="24"/>
                <w:szCs w:val="32"/>
              </w:rPr>
              <w:t>%</w:t>
            </w:r>
            <w:r>
              <w:rPr>
                <w:rFonts w:hint="eastAsia"/>
                <w:bCs/>
                <w:color w:val="auto"/>
                <w:sz w:val="24"/>
                <w:szCs w:val="32"/>
              </w:rPr>
              <w:t>，</w:t>
            </w:r>
            <w:r>
              <w:rPr>
                <w:rFonts w:hint="eastAsia"/>
                <w:color w:val="auto"/>
                <w:sz w:val="24"/>
                <w:szCs w:val="32"/>
              </w:rPr>
              <w:t>二噁英类</w:t>
            </w:r>
            <w:r>
              <w:rPr>
                <w:rFonts w:hint="eastAsia"/>
                <w:color w:val="auto"/>
                <w:sz w:val="24"/>
                <w:szCs w:val="32"/>
                <w:lang w:val="en-US" w:eastAsia="zh-CN"/>
              </w:rPr>
              <w:t>日均值</w:t>
            </w:r>
            <w:r>
              <w:rPr>
                <w:rFonts w:hint="eastAsia"/>
                <w:bCs/>
                <w:color w:val="auto"/>
                <w:sz w:val="24"/>
                <w:szCs w:val="32"/>
              </w:rPr>
              <w:t>总毒性当量</w:t>
            </w:r>
            <w:r>
              <w:rPr>
                <w:rFonts w:hint="eastAsia"/>
                <w:color w:val="auto"/>
                <w:sz w:val="24"/>
                <w:szCs w:val="32"/>
              </w:rPr>
              <w:t>均未超过评价标准限值要求（</w:t>
            </w:r>
            <w:r>
              <w:rPr>
                <w:rFonts w:hint="eastAsia"/>
                <w:color w:val="auto"/>
                <w:sz w:val="24"/>
                <w:szCs w:val="32"/>
                <w:lang w:val="en-US" w:eastAsia="zh-CN"/>
              </w:rPr>
              <w:t>取年均值得2倍，为1.2</w:t>
            </w:r>
            <w:r>
              <w:rPr>
                <w:rFonts w:hint="eastAsia"/>
                <w:color w:val="auto"/>
                <w:sz w:val="24"/>
                <w:szCs w:val="32"/>
              </w:rPr>
              <w:t xml:space="preserve"> TEQpg/Nm</w:t>
            </w:r>
            <w:r>
              <w:rPr>
                <w:rFonts w:hint="eastAsia"/>
                <w:color w:val="auto"/>
                <w:sz w:val="24"/>
                <w:szCs w:val="32"/>
                <w:vertAlign w:val="superscript"/>
              </w:rPr>
              <w:t>3</w:t>
            </w:r>
            <w:r>
              <w:rPr>
                <w:rFonts w:hint="eastAsia"/>
                <w:color w:val="auto"/>
                <w:sz w:val="24"/>
                <w:szCs w:val="32"/>
              </w:rPr>
              <w:t>）。区域大气污染物现状质量浓度达标。</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本项目火化炉辅助燃料为轻质柴油，火化炉使用“3T</w:t>
            </w:r>
            <w:r>
              <w:rPr>
                <w:rFonts w:hint="eastAsia"/>
                <w:color w:val="auto"/>
                <w:kern w:val="0"/>
                <w:sz w:val="24"/>
                <w:lang w:val="en-US" w:eastAsia="zh-CN"/>
              </w:rPr>
              <w:t>+E</w:t>
            </w:r>
            <w:r>
              <w:rPr>
                <w:rFonts w:hint="eastAsia"/>
                <w:color w:val="auto"/>
                <w:kern w:val="0"/>
                <w:sz w:val="24"/>
              </w:rPr>
              <w:t>”控制技术，以及烟气末端治理技术，火化炉烟气可达标排放，且排放量较少，对区域环境空气影响较小。根据《</w:t>
            </w:r>
            <w:r>
              <w:rPr>
                <w:rFonts w:hint="eastAsia"/>
                <w:color w:val="auto"/>
                <w:sz w:val="24"/>
              </w:rPr>
              <w:t>山西省环境保护厅关于印发&lt;建设项目主要污染物排放总量核定办法&gt;的通知》（晋环发[2015]25号）以及《国民经济行业分类》（GB/T4754-2017），</w:t>
            </w:r>
            <w:r>
              <w:rPr>
                <w:rFonts w:hint="eastAsia"/>
                <w:bCs/>
                <w:color w:val="auto"/>
                <w:sz w:val="24"/>
              </w:rPr>
              <w:t>本项目属于Q居民服务、修理和其他服务业中的8080殡葬服务业，不在需要</w:t>
            </w:r>
            <w:r>
              <w:rPr>
                <w:rFonts w:hint="eastAsia"/>
                <w:color w:val="auto"/>
                <w:sz w:val="24"/>
              </w:rPr>
              <w:t>核定主要污染物排放总量的行业范围内。</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lang w:val="en-US" w:eastAsia="zh-CN"/>
              </w:rPr>
              <w:t>②</w:t>
            </w:r>
            <w:r>
              <w:rPr>
                <w:rFonts w:hint="eastAsia"/>
                <w:b/>
                <w:bCs/>
                <w:color w:val="auto"/>
                <w:kern w:val="0"/>
                <w:sz w:val="24"/>
              </w:rPr>
              <w:t>地表水环境：</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本项目所在区域地表水系为海河流域-滹沱河山区-滹沱河水系-清水河河流（环椿坪至坪上桥段）。</w:t>
            </w:r>
            <w:r>
              <w:rPr>
                <w:rFonts w:hint="eastAsia"/>
                <w:bCs/>
                <w:color w:val="auto"/>
                <w:sz w:val="24"/>
                <w:lang w:val="en-US" w:eastAsia="zh-CN"/>
              </w:rPr>
              <w:t>本项目位于滹沱河东北方向约7.7km处，位于清水河北侧约16.2km处，位于滤泗河西南侧约4.3km处；</w:t>
            </w:r>
            <w:r>
              <w:rPr>
                <w:rFonts w:hint="eastAsia"/>
                <w:bCs/>
                <w:color w:val="auto"/>
                <w:sz w:val="24"/>
              </w:rPr>
              <w:t>2020年1-12月水质状况中清水河坪上桥水质为I类，满足清水河坪上桥II类水质考核目标。本项目产生的废水经污水处理站处理后夏季可用于道路浇洒及绿化浇灌，冬季定期由罐车统一抽送至五台县生活污水处理厂；项目无废水外排，对区域地表水环境影响较小。</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bCs/>
                <w:color w:val="auto"/>
                <w:sz w:val="24"/>
              </w:rPr>
              <w:t>本项目所在区域地表水系图见附图5。</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lang w:val="en-US" w:eastAsia="zh-CN"/>
              </w:rPr>
              <w:t>③</w:t>
            </w:r>
            <w:r>
              <w:rPr>
                <w:rFonts w:hint="eastAsia"/>
                <w:b/>
                <w:bCs/>
                <w:color w:val="auto"/>
                <w:kern w:val="0"/>
                <w:sz w:val="24"/>
              </w:rPr>
              <w:t>声环境：</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bCs/>
                <w:color w:val="auto"/>
                <w:sz w:val="24"/>
                <w:szCs w:val="20"/>
              </w:rPr>
            </w:pPr>
            <w:r>
              <w:rPr>
                <w:rFonts w:hint="eastAsia"/>
                <w:color w:val="auto"/>
                <w:kern w:val="0"/>
                <w:sz w:val="24"/>
              </w:rPr>
              <w:t>本项目厂址周边50m范围内不存在居民区等声环境保护目标，因此只进行厂界四周噪声监测，</w:t>
            </w:r>
            <w:r>
              <w:rPr>
                <w:rFonts w:hint="eastAsia"/>
                <w:color w:val="auto"/>
                <w:sz w:val="24"/>
                <w:szCs w:val="20"/>
              </w:rPr>
              <w:t>监测期间</w:t>
            </w:r>
            <w:r>
              <w:rPr>
                <w:rFonts w:hint="eastAsia"/>
                <w:color w:val="auto"/>
                <w:sz w:val="24"/>
                <w:szCs w:val="32"/>
                <w:lang w:eastAsia="zh-CN"/>
              </w:rPr>
              <w:t>（</w:t>
            </w:r>
            <w:r>
              <w:rPr>
                <w:rFonts w:hint="eastAsia"/>
                <w:color w:val="auto"/>
                <w:sz w:val="24"/>
                <w:szCs w:val="32"/>
                <w:lang w:val="en-US" w:eastAsia="zh-CN"/>
              </w:rPr>
              <w:t>2022年2月9日</w:t>
            </w:r>
            <w:r>
              <w:rPr>
                <w:rFonts w:hint="eastAsia"/>
                <w:color w:val="auto"/>
                <w:sz w:val="24"/>
                <w:szCs w:val="32"/>
                <w:lang w:eastAsia="zh-CN"/>
              </w:rPr>
              <w:t>）</w:t>
            </w:r>
            <w:r>
              <w:rPr>
                <w:rFonts w:hint="eastAsia"/>
                <w:color w:val="auto"/>
                <w:sz w:val="24"/>
                <w:szCs w:val="20"/>
              </w:rPr>
              <w:t>项目厂界昼间噪声值在5</w:t>
            </w:r>
            <w:r>
              <w:rPr>
                <w:rFonts w:hint="eastAsia"/>
                <w:color w:val="auto"/>
                <w:sz w:val="24"/>
                <w:szCs w:val="20"/>
                <w:lang w:val="en-US" w:eastAsia="zh-CN"/>
              </w:rPr>
              <w:t>2</w:t>
            </w:r>
            <w:r>
              <w:rPr>
                <w:rFonts w:hint="eastAsia"/>
                <w:color w:val="auto"/>
                <w:sz w:val="24"/>
                <w:szCs w:val="20"/>
              </w:rPr>
              <w:t>.</w:t>
            </w:r>
            <w:r>
              <w:rPr>
                <w:rFonts w:hint="eastAsia"/>
                <w:color w:val="auto"/>
                <w:sz w:val="24"/>
                <w:szCs w:val="20"/>
                <w:lang w:val="en-US" w:eastAsia="zh-CN"/>
              </w:rPr>
              <w:t>6</w:t>
            </w:r>
            <w:r>
              <w:rPr>
                <w:rFonts w:hint="eastAsia"/>
                <w:color w:val="auto"/>
                <w:sz w:val="24"/>
                <w:szCs w:val="20"/>
              </w:rPr>
              <w:t>-5</w:t>
            </w:r>
            <w:r>
              <w:rPr>
                <w:rFonts w:hint="eastAsia"/>
                <w:color w:val="auto"/>
                <w:sz w:val="24"/>
                <w:szCs w:val="20"/>
                <w:lang w:val="en-US" w:eastAsia="zh-CN"/>
              </w:rPr>
              <w:t>4.1</w:t>
            </w:r>
            <w:r>
              <w:rPr>
                <w:rFonts w:hint="eastAsia"/>
                <w:color w:val="auto"/>
                <w:sz w:val="24"/>
                <w:szCs w:val="20"/>
              </w:rPr>
              <w:t>dB(A)，夜间噪声值在4</w:t>
            </w:r>
            <w:r>
              <w:rPr>
                <w:rFonts w:hint="eastAsia"/>
                <w:color w:val="auto"/>
                <w:sz w:val="24"/>
                <w:szCs w:val="20"/>
                <w:lang w:val="en-US" w:eastAsia="zh-CN"/>
              </w:rPr>
              <w:t>2.1</w:t>
            </w:r>
            <w:r>
              <w:rPr>
                <w:rFonts w:hint="eastAsia"/>
                <w:color w:val="auto"/>
                <w:sz w:val="24"/>
                <w:szCs w:val="20"/>
              </w:rPr>
              <w:t>-</w:t>
            </w:r>
            <w:r>
              <w:rPr>
                <w:rFonts w:hint="eastAsia"/>
                <w:color w:val="auto"/>
                <w:sz w:val="24"/>
                <w:szCs w:val="20"/>
                <w:lang w:val="en-US" w:eastAsia="zh-CN"/>
              </w:rPr>
              <w:t>43.5</w:t>
            </w:r>
            <w:r>
              <w:rPr>
                <w:rFonts w:hint="eastAsia"/>
                <w:color w:val="auto"/>
                <w:sz w:val="24"/>
                <w:szCs w:val="20"/>
              </w:rPr>
              <w:t>dB(A)，均满足《声环境质量标准》(GB3096-2008)2类标准限值要求。项目运营期通过采取</w:t>
            </w:r>
            <w:r>
              <w:rPr>
                <w:rFonts w:hint="eastAsia"/>
                <w:bCs/>
                <w:color w:val="auto"/>
                <w:sz w:val="24"/>
                <w:szCs w:val="20"/>
              </w:rPr>
              <w:t>选用低噪声设备，隔声、基础减振，定期维护</w:t>
            </w:r>
            <w:r>
              <w:rPr>
                <w:rFonts w:hint="eastAsia"/>
                <w:bCs/>
                <w:color w:val="auto"/>
                <w:sz w:val="24"/>
                <w:szCs w:val="20"/>
                <w:lang w:eastAsia="zh-CN"/>
              </w:rPr>
              <w:t>，</w:t>
            </w:r>
            <w:r>
              <w:rPr>
                <w:rFonts w:hint="eastAsia"/>
                <w:bCs/>
                <w:color w:val="auto"/>
                <w:sz w:val="24"/>
                <w:szCs w:val="20"/>
              </w:rPr>
              <w:t>加强管理等措施，经预测厂界噪声可达标排放</w:t>
            </w:r>
            <w:r>
              <w:rPr>
                <w:rFonts w:hint="eastAsia"/>
                <w:bCs/>
                <w:color w:val="auto"/>
                <w:sz w:val="24"/>
                <w:szCs w:val="20"/>
                <w:lang w:eastAsia="zh-CN"/>
              </w:rPr>
              <w:t>，</w:t>
            </w:r>
            <w:r>
              <w:rPr>
                <w:rFonts w:hint="eastAsia"/>
                <w:bCs/>
                <w:color w:val="auto"/>
                <w:sz w:val="24"/>
                <w:szCs w:val="20"/>
                <w:lang w:val="en-US" w:eastAsia="zh-CN"/>
              </w:rPr>
              <w:t>对区域声环境影响较小</w:t>
            </w:r>
            <w:r>
              <w:rPr>
                <w:rFonts w:hint="eastAsia"/>
                <w:bCs/>
                <w:color w:val="auto"/>
                <w:sz w:val="24"/>
                <w:szCs w:val="20"/>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eastAsia="宋体"/>
                <w:b/>
                <w:bCs w:val="0"/>
                <w:color w:val="auto"/>
                <w:sz w:val="24"/>
                <w:szCs w:val="20"/>
                <w:lang w:val="en-US" w:eastAsia="zh-CN"/>
              </w:rPr>
            </w:pPr>
            <w:r>
              <w:rPr>
                <w:rFonts w:hint="eastAsia"/>
                <w:b/>
                <w:bCs w:val="0"/>
                <w:color w:val="auto"/>
                <w:sz w:val="24"/>
                <w:szCs w:val="20"/>
                <w:lang w:val="en-US" w:eastAsia="zh-CN"/>
              </w:rPr>
              <w:t>④土壤环境：</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eastAsia="宋体"/>
                <w:color w:val="auto"/>
                <w:kern w:val="0"/>
                <w:sz w:val="24"/>
                <w:lang w:val="en-US" w:eastAsia="zh-CN"/>
              </w:rPr>
            </w:pPr>
            <w:r>
              <w:rPr>
                <w:rFonts w:hint="eastAsia"/>
                <w:bCs/>
                <w:color w:val="auto"/>
                <w:sz w:val="24"/>
              </w:rPr>
              <w:t>本项目存在土壤污染影响且周边存在耕地等土壤环境保护目标，污染途径为大气沉降；因此于厂址外废气易扩散方向设置1个土壤监测点，监测本项目排放的特征污染物汞、二噁英类，留作背景值</w:t>
            </w:r>
            <w:r>
              <w:rPr>
                <w:rFonts w:hint="eastAsia"/>
                <w:bCs/>
                <w:color w:val="auto"/>
                <w:sz w:val="24"/>
                <w:lang w:eastAsia="zh-CN"/>
              </w:rPr>
              <w:t>；</w:t>
            </w:r>
            <w:r>
              <w:rPr>
                <w:rFonts w:hint="eastAsia"/>
                <w:bCs/>
                <w:color w:val="auto"/>
                <w:sz w:val="24"/>
                <w:lang w:val="en-US" w:eastAsia="zh-CN"/>
              </w:rPr>
              <w:t>该监测点</w:t>
            </w:r>
            <w:r>
              <w:rPr>
                <w:rFonts w:hint="eastAsia"/>
                <w:color w:val="auto"/>
                <w:sz w:val="24"/>
                <w:szCs w:val="32"/>
              </w:rPr>
              <w:t>中Hg可以达到</w:t>
            </w:r>
            <w:r>
              <w:rPr>
                <w:rFonts w:hint="eastAsia"/>
                <w:bCs/>
                <w:color w:val="auto"/>
                <w:sz w:val="24"/>
                <w:szCs w:val="32"/>
              </w:rPr>
              <w:t>《土壤环境质量 农用地土壤污染风险管控标准》（GB15618-2018）中农用地土壤污染筛选值限值要求；二噁英类（总毒性当量）</w:t>
            </w:r>
            <w:r>
              <w:rPr>
                <w:rFonts w:hint="eastAsia"/>
                <w:color w:val="auto"/>
                <w:sz w:val="24"/>
                <w:szCs w:val="32"/>
              </w:rPr>
              <w:t>可以达到《土壤环境质量 建设用地土壤污染风险管控标准》（GB36600-2018）第一类用地筛选值限值要求</w:t>
            </w:r>
            <w:r>
              <w:rPr>
                <w:rFonts w:hint="eastAsia"/>
                <w:color w:val="auto"/>
                <w:sz w:val="24"/>
                <w:szCs w:val="32"/>
                <w:lang w:eastAsia="zh-CN"/>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综上所述，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（3）与资源利用上线的符合性分析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项目建设过程中所利用的资源主要为水、电、轻质柴油，均为清洁能源，项目通过内部管理、设备选择的选用管理等措施，以“节能、降耗、减污”为目标，有效控制资源利用。项目的水、电、轻质柴油等资源利用不会突破区域的资源利用上线。</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（4）与环境准入负面清单符合性分析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根据《产业结构调整指导目录(2019年本)》，本项目未被列入淘汰类或限制类项目，属于允许类项目，符合国家产业政策。</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lang w:val="en-US" w:eastAsia="zh-CN"/>
              </w:rPr>
            </w:pPr>
            <w:r>
              <w:rPr>
                <w:rFonts w:hint="eastAsia"/>
                <w:color w:val="auto"/>
                <w:kern w:val="0"/>
                <w:sz w:val="24"/>
                <w:lang w:val="en-US" w:eastAsia="zh-CN"/>
              </w:rPr>
              <w:t>本项目与《忻州市“三线一单”生态环境分区管控实施方案》中生态环境总体准入清单的符合性分析见下表。</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color w:val="auto"/>
                <w:kern w:val="0"/>
                <w:sz w:val="24"/>
              </w:rPr>
            </w:pPr>
            <w:r>
              <w:rPr>
                <w:rFonts w:hint="eastAsia" w:ascii="黑体" w:hAnsi="黑体" w:eastAsia="黑体" w:cs="宋体"/>
                <w:color w:val="auto"/>
                <w:kern w:val="0"/>
                <w:sz w:val="24"/>
              </w:rPr>
              <w:t>表1-</w:t>
            </w:r>
            <w:r>
              <w:rPr>
                <w:rFonts w:hint="eastAsia" w:ascii="黑体" w:hAnsi="黑体" w:eastAsia="黑体" w:cs="宋体"/>
                <w:color w:val="auto"/>
                <w:kern w:val="0"/>
                <w:sz w:val="24"/>
                <w:lang w:val="en-US" w:eastAsia="zh-CN"/>
              </w:rPr>
              <w:t>3</w:t>
            </w:r>
            <w:r>
              <w:rPr>
                <w:rFonts w:hint="eastAsia" w:ascii="黑体" w:hAnsi="黑体" w:eastAsia="黑体" w:cs="宋体"/>
                <w:color w:val="auto"/>
                <w:kern w:val="0"/>
                <w:sz w:val="24"/>
              </w:rPr>
              <w:t xml:space="preserve">  与《忻州市“三线一单”生态环境分区管控实施方案》中生态环境总体准入清单的符合性分析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816"/>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r>
                    <w:rPr>
                      <w:rFonts w:hint="eastAsia" w:cs="宋体"/>
                      <w:color w:val="auto"/>
                      <w:kern w:val="0"/>
                      <w:szCs w:val="21"/>
                    </w:rPr>
                    <w:t>管控类别</w:t>
                  </w: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r>
                    <w:rPr>
                      <w:rFonts w:hint="eastAsia" w:cs="宋体"/>
                      <w:color w:val="auto"/>
                      <w:kern w:val="0"/>
                      <w:szCs w:val="21"/>
                    </w:rPr>
                    <w:t>管控要求</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r>
                    <w:rPr>
                      <w:rFonts w:hint="eastAsia" w:cs="宋体"/>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r>
                    <w:rPr>
                      <w:rFonts w:hint="eastAsia"/>
                      <w:color w:val="auto"/>
                      <w:szCs w:val="21"/>
                    </w:rPr>
                    <w:t>空间布局约束</w:t>
                  </w: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szCs w:val="21"/>
                    </w:rPr>
                    <w:t>1.各县（市、区）人民政府应当按照国民经济和社会发展规划、国土空间规划和环境保护要求，制定规划，统筹安排，依法逐步对不符合产业政策和布局不合理的重污染企业实施关停搬迁。</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根据《忻州市人民政府办公厅关于加强全市殡葬改革和殡葬基础设施建设的通知》（忻政办发[2018]97号）文件的要求，已划定为火葬区未建起殡仪馆的定襄县、五台县等12个县（市），要优先建设带有火化功能的殡仪馆；五台县行政审批服务管理局以五审管函[202</w:t>
                  </w:r>
                  <w:r>
                    <w:rPr>
                      <w:rFonts w:hint="eastAsia" w:cs="宋体"/>
                      <w:color w:val="auto"/>
                      <w:kern w:val="0"/>
                      <w:szCs w:val="21"/>
                      <w:lang w:val="en-US" w:eastAsia="zh-CN"/>
                    </w:rPr>
                    <w:t>2</w:t>
                  </w:r>
                  <w:r>
                    <w:rPr>
                      <w:rFonts w:hint="eastAsia" w:cs="宋体"/>
                      <w:color w:val="auto"/>
                      <w:kern w:val="0"/>
                      <w:szCs w:val="21"/>
                    </w:rPr>
                    <w:t>]</w:t>
                  </w:r>
                  <w:r>
                    <w:rPr>
                      <w:rFonts w:hint="eastAsia" w:cs="宋体"/>
                      <w:color w:val="auto"/>
                      <w:kern w:val="0"/>
                      <w:szCs w:val="21"/>
                      <w:lang w:val="en-US" w:eastAsia="zh-CN"/>
                    </w:rPr>
                    <w:t>8</w:t>
                  </w:r>
                  <w:r>
                    <w:rPr>
                      <w:rFonts w:hint="eastAsia" w:cs="宋体"/>
                      <w:color w:val="auto"/>
                      <w:kern w:val="0"/>
                      <w:szCs w:val="21"/>
                    </w:rPr>
                    <w:t>号文对项目可行性研究报告予以批复；本项目符合国民经济和社会发展规划。</w:t>
                  </w:r>
                </w:p>
                <w:p>
                  <w:pPr>
                    <w:keepNext w:val="0"/>
                    <w:keepLines w:val="0"/>
                    <w:suppressLineNumbers w:val="0"/>
                    <w:autoSpaceDE w:val="0"/>
                    <w:autoSpaceDN w:val="0"/>
                    <w:adjustRightInd w:val="0"/>
                    <w:snapToGrid w:val="0"/>
                    <w:spacing w:before="0" w:beforeAutospacing="0" w:after="0" w:afterAutospacing="0"/>
                    <w:ind w:left="0" w:right="0"/>
                    <w:rPr>
                      <w:rFonts w:hint="eastAsia" w:eastAsia="宋体" w:cs="宋体"/>
                      <w:color w:val="auto"/>
                      <w:kern w:val="0"/>
                      <w:szCs w:val="21"/>
                      <w:lang w:val="en-US" w:eastAsia="zh-CN"/>
                    </w:rPr>
                  </w:pPr>
                  <w:r>
                    <w:rPr>
                      <w:rFonts w:hint="eastAsia" w:cs="宋体"/>
                      <w:color w:val="auto"/>
                      <w:kern w:val="0"/>
                      <w:szCs w:val="21"/>
                      <w:lang w:val="en-US" w:eastAsia="zh-CN"/>
                    </w:rPr>
                    <w:t>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符合五台县的国土空间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2.对纳入生态保护红线的，其管控规则应以自然资源部最终出台的《生态保护红线管理办法》为准。</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根据表1-1</w:t>
                  </w:r>
                  <w:r>
                    <w:rPr>
                      <w:rFonts w:hint="eastAsia" w:cs="宋体"/>
                      <w:color w:val="auto"/>
                      <w:kern w:val="0"/>
                      <w:szCs w:val="21"/>
                      <w:lang w:val="en-US" w:eastAsia="zh-CN"/>
                    </w:rPr>
                    <w:t>~2</w:t>
                  </w:r>
                  <w:r>
                    <w:rPr>
                      <w:rFonts w:hint="eastAsia" w:cs="宋体"/>
                      <w:color w:val="auto"/>
                      <w:kern w:val="0"/>
                      <w:szCs w:val="21"/>
                    </w:rPr>
                    <w:t>的分析可知，本项目</w:t>
                  </w:r>
                  <w:r>
                    <w:rPr>
                      <w:rFonts w:hint="eastAsia" w:cs="宋体"/>
                      <w:color w:val="auto"/>
                      <w:kern w:val="0"/>
                      <w:szCs w:val="21"/>
                      <w:lang w:val="en-US" w:eastAsia="zh-CN"/>
                    </w:rPr>
                    <w:t>符合</w:t>
                  </w:r>
                  <w:r>
                    <w:rPr>
                      <w:rFonts w:hint="eastAsia" w:cs="宋体"/>
                      <w:color w:val="auto"/>
                      <w:kern w:val="0"/>
                      <w:szCs w:val="21"/>
                    </w:rPr>
                    <w:t>优先保护单元的管控要求。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3.新建、改建、扩建“两高”项目须符合生态环境保护法律法规和相关法定规划要求。</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szCs w:val="21"/>
                    </w:rPr>
                    <w:t>4.石化、现代煤化工项目应纳入国家产业规划。新建、扩建石化、化工、焦化、有色金属冶炼、平板玻璃项目应布设在依法合规设立的产业园区。</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w:t>
                  </w:r>
                  <w:r>
                    <w:rPr>
                      <w:rFonts w:hint="eastAsia"/>
                      <w:color w:val="auto"/>
                      <w:szCs w:val="21"/>
                    </w:rPr>
                    <w:t>石化、化工、焦化、有色金属冶炼、平板玻璃产业。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szCs w:val="21"/>
                    </w:rPr>
                    <w:t>5.禁止在居民区、学校、医疗和养老机构等周边规定范围内新建、扩建有色金属冶炼、焦化等行业企业。</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w:t>
                  </w:r>
                  <w:r>
                    <w:rPr>
                      <w:rFonts w:hint="eastAsia"/>
                      <w:color w:val="auto"/>
                      <w:szCs w:val="21"/>
                    </w:rPr>
                    <w:t>有色金属冶炼、焦化等行业企业；距本项目拟建场址最近的居住区为距场址</w:t>
                  </w:r>
                  <w:r>
                    <w:rPr>
                      <w:rFonts w:hint="eastAsia"/>
                      <w:color w:val="auto"/>
                      <w:szCs w:val="21"/>
                      <w:lang w:val="en-US" w:eastAsia="zh-CN"/>
                    </w:rPr>
                    <w:t>东南</w:t>
                  </w:r>
                  <w:r>
                    <w:rPr>
                      <w:rFonts w:hint="eastAsia"/>
                      <w:color w:val="auto"/>
                      <w:szCs w:val="21"/>
                    </w:rPr>
                    <w:t>侧约</w:t>
                  </w:r>
                  <w:r>
                    <w:rPr>
                      <w:rFonts w:hint="eastAsia"/>
                      <w:color w:val="auto"/>
                      <w:szCs w:val="21"/>
                      <w:lang w:val="en-US" w:eastAsia="zh-CN"/>
                    </w:rPr>
                    <w:t>145</w:t>
                  </w:r>
                  <w:r>
                    <w:rPr>
                      <w:rFonts w:hint="eastAsia"/>
                      <w:color w:val="auto"/>
                      <w:szCs w:val="21"/>
                    </w:rPr>
                    <w:t>0m的</w:t>
                  </w:r>
                  <w:r>
                    <w:rPr>
                      <w:rFonts w:hint="eastAsia"/>
                      <w:color w:val="auto"/>
                      <w:szCs w:val="21"/>
                      <w:lang w:val="en-US" w:eastAsia="zh-CN"/>
                    </w:rPr>
                    <w:t>黑虎岔</w:t>
                  </w:r>
                  <w:r>
                    <w:rPr>
                      <w:rFonts w:hint="eastAsia"/>
                      <w:color w:val="auto"/>
                      <w:szCs w:val="21"/>
                    </w:rPr>
                    <w:t>村</w:t>
                  </w:r>
                  <w:r>
                    <w:rPr>
                      <w:rFonts w:hint="eastAsia"/>
                      <w:color w:val="auto"/>
                      <w:szCs w:val="21"/>
                      <w:lang w:eastAsia="zh-CN"/>
                    </w:rPr>
                    <w:t>；</w:t>
                  </w:r>
                  <w:r>
                    <w:rPr>
                      <w:rFonts w:hint="eastAsia"/>
                      <w:bCs/>
                      <w:color w:val="auto"/>
                      <w:kern w:val="0"/>
                      <w:szCs w:val="21"/>
                    </w:rPr>
                    <w:t>符合</w:t>
                  </w:r>
                  <w:r>
                    <w:rPr>
                      <w:rFonts w:hint="eastAsia"/>
                      <w:bCs/>
                      <w:color w:val="auto"/>
                      <w:kern w:val="0"/>
                      <w:szCs w:val="21"/>
                      <w:lang w:val="en-US" w:eastAsia="zh-CN"/>
                    </w:rPr>
                    <w:t>根据《大气有害物质无组织排放卫生防护距离推导技术导则》计算的卫生防护距离的要求</w:t>
                  </w:r>
                  <w:r>
                    <w:rPr>
                      <w:rFonts w:hint="eastAsia"/>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szCs w:val="21"/>
                    </w:rPr>
                    <w:t>6.加强矿山生态环境监管，禁止在自然保护区、水源地保护区域等重要生态保护地禁采区域内开矿。</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本项目不属于采矿业。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污染物排放管控</w:t>
                  </w: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1.污染物排放总量严格落实“</w:t>
                  </w:r>
                  <w:r>
                    <w:rPr>
                      <w:rFonts w:hint="eastAsia" w:hAnsi="宋体"/>
                      <w:color w:val="auto"/>
                    </w:rPr>
                    <w:t>十四五</w:t>
                  </w:r>
                  <w:r>
                    <w:rPr>
                      <w:rFonts w:hint="eastAsia"/>
                      <w:color w:val="auto"/>
                    </w:rPr>
                    <w:t>”</w:t>
                  </w:r>
                  <w:r>
                    <w:rPr>
                      <w:rFonts w:hint="eastAsia" w:hAnsi="宋体"/>
                      <w:color w:val="auto"/>
                    </w:rPr>
                    <w:t>相关目标指标。</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根据《山西省环境保护厅关于印发&lt;建设项目主要污染物排放总量核定办法&gt;的通知》（晋环发[2015]5号），</w:t>
                  </w:r>
                  <w:r>
                    <w:rPr>
                      <w:rFonts w:hint="eastAsia" w:cs="宋体"/>
                      <w:bCs/>
                      <w:color w:val="auto"/>
                      <w:kern w:val="0"/>
                      <w:szCs w:val="21"/>
                    </w:rPr>
                    <w:t>本项目不需要核定主要污染物排放总量。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2.“1+30”</w:t>
                  </w:r>
                  <w:r>
                    <w:rPr>
                      <w:rFonts w:hint="eastAsia" w:hAnsi="宋体"/>
                      <w:color w:val="auto"/>
                    </w:rPr>
                    <w:t>区域重点行业二氧化硫、氮氧化物、颗粒物和挥发性有机物全面执行大气污染物特别排放限值。</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五台县不属于</w:t>
                  </w:r>
                  <w:r>
                    <w:rPr>
                      <w:rFonts w:hint="eastAsia"/>
                      <w:color w:val="auto"/>
                    </w:rPr>
                    <w:t>“1+30”</w:t>
                  </w:r>
                  <w:r>
                    <w:rPr>
                      <w:rFonts w:hint="eastAsia" w:hAnsi="宋体"/>
                      <w:color w:val="auto"/>
                    </w:rPr>
                    <w:t>区域，且本项目不属于重点行业，无大气污染物特别排放限值要求。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3.产业集聚区、工业园区要逐步取消自备燃煤锅炉，积极推进“</w:t>
                  </w:r>
                  <w:r>
                    <w:rPr>
                      <w:rFonts w:hint="eastAsia" w:hAnsi="宋体"/>
                      <w:color w:val="auto"/>
                    </w:rPr>
                    <w:t>煤改气</w:t>
                  </w:r>
                  <w:r>
                    <w:rPr>
                      <w:rFonts w:hint="eastAsia"/>
                      <w:color w:val="auto"/>
                    </w:rPr>
                    <w:t>”</w:t>
                  </w:r>
                  <w:r>
                    <w:rPr>
                      <w:rFonts w:hint="eastAsia"/>
                      <w:color w:val="auto"/>
                      <w:lang w:eastAsia="zh-CN"/>
                    </w:rPr>
                    <w:t>、</w:t>
                  </w:r>
                  <w:r>
                    <w:rPr>
                      <w:rFonts w:hint="eastAsia"/>
                      <w:color w:val="auto"/>
                    </w:rPr>
                    <w:t>“</w:t>
                  </w:r>
                  <w:r>
                    <w:rPr>
                      <w:rFonts w:hint="eastAsia" w:hAnsi="宋体"/>
                      <w:color w:val="auto"/>
                    </w:rPr>
                    <w:t>煤改电</w:t>
                  </w:r>
                  <w:r>
                    <w:rPr>
                      <w:rFonts w:hint="eastAsia"/>
                      <w:color w:val="auto"/>
                    </w:rPr>
                    <w:t>”</w:t>
                  </w:r>
                  <w:r>
                    <w:rPr>
                      <w:rFonts w:hint="eastAsia" w:hAnsi="宋体"/>
                      <w:color w:val="auto"/>
                    </w:rPr>
                    <w:t>工程。</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本项目不在</w:t>
                  </w:r>
                  <w:r>
                    <w:rPr>
                      <w:rFonts w:hint="eastAsia"/>
                      <w:color w:val="auto"/>
                    </w:rPr>
                    <w:t>产业集聚区、工业园区范围内，且无燃煤锅炉及设施。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4.新建“</w:t>
                  </w:r>
                  <w:r>
                    <w:rPr>
                      <w:rFonts w:hint="eastAsia" w:hAnsi="宋体"/>
                      <w:color w:val="auto"/>
                    </w:rPr>
                    <w:t>两高</w:t>
                  </w:r>
                  <w:r>
                    <w:rPr>
                      <w:rFonts w:hint="eastAsia"/>
                      <w:color w:val="auto"/>
                    </w:rPr>
                    <w:t>”</w:t>
                  </w:r>
                  <w:r>
                    <w:rPr>
                      <w:rFonts w:hint="eastAsia" w:hAnsi="宋体"/>
                      <w:color w:val="auto"/>
                    </w:rPr>
                    <w:t>项目应按照《关于加强重点行业建设项目区域削减措施监督管理的通知》要求，依据区域环境质量改善目标，制定配套区域污染物削减方案，采取有效的污染物区域削减措施，腾出足够的环境容量。</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本项目不属于“两高”项目，且</w:t>
                  </w:r>
                  <w:r>
                    <w:rPr>
                      <w:rFonts w:hint="eastAsia" w:cs="宋体"/>
                      <w:bCs/>
                      <w:color w:val="auto"/>
                      <w:kern w:val="0"/>
                      <w:szCs w:val="21"/>
                    </w:rPr>
                    <w:t>不需要核定主要污染物排放总量。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5.国家或地方已出台超低排放要求的“</w:t>
                  </w:r>
                  <w:r>
                    <w:rPr>
                      <w:rFonts w:hint="eastAsia" w:hAnsi="宋体"/>
                      <w:color w:val="auto"/>
                    </w:rPr>
                    <w:t>两高</w:t>
                  </w:r>
                  <w:r>
                    <w:rPr>
                      <w:rFonts w:hint="eastAsia"/>
                      <w:color w:val="auto"/>
                    </w:rPr>
                    <w:t>”</w:t>
                  </w:r>
                  <w:r>
                    <w:rPr>
                      <w:rFonts w:hint="eastAsia" w:hAnsi="宋体"/>
                      <w:color w:val="auto"/>
                    </w:rPr>
                    <w:t>行业建设项目应满足超低排放要求。</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本项目不属于“两高”项目，无超低排放要求。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6.</w:t>
                  </w:r>
                  <w:r>
                    <w:rPr>
                      <w:rFonts w:hint="eastAsia" w:hAnsi="宋体"/>
                      <w:color w:val="auto"/>
                    </w:rPr>
                    <w:t>鼓励企业使用新技术、新工艺、新设备、新产品、新材料，改造和提升传统产业，开展废弃物处理及再生资源综合利用，发展循环经济。</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本项目使用的火化设备为符合国家环境保护标准的火化炉，使用“3T</w:t>
                  </w:r>
                  <w:r>
                    <w:rPr>
                      <w:rFonts w:hint="eastAsia" w:cs="宋体"/>
                      <w:color w:val="auto"/>
                      <w:kern w:val="0"/>
                      <w:szCs w:val="21"/>
                      <w:lang w:val="en-US" w:eastAsia="zh-CN"/>
                    </w:rPr>
                    <w:t>+E</w:t>
                  </w:r>
                  <w:r>
                    <w:rPr>
                      <w:rFonts w:hint="eastAsia" w:cs="宋体"/>
                      <w:color w:val="auto"/>
                      <w:kern w:val="0"/>
                      <w:szCs w:val="21"/>
                    </w:rPr>
                    <w:t>”控制技术，可有效减少火化过程中污染物的排放。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7.</w:t>
                  </w:r>
                  <w:r>
                    <w:rPr>
                      <w:rFonts w:hint="eastAsia" w:hAnsi="宋体"/>
                      <w:color w:val="auto"/>
                    </w:rPr>
                    <w:t>煤炭企业应当按照综合利用和处置煤矸石技术规范要求综合利用和处置煤矸石。</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本项目不属于煤炭企业。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环境风险防控</w:t>
                  </w: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1.</w:t>
                  </w:r>
                  <w:r>
                    <w:rPr>
                      <w:rFonts w:hint="eastAsia" w:hAnsi="宋体"/>
                      <w:color w:val="auto"/>
                    </w:rPr>
                    <w:t>建立健全突发环境事件应对工作机制，提高预防、预警、应对能力。</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本项目建成运营后将建立健全</w:t>
                  </w:r>
                  <w:r>
                    <w:rPr>
                      <w:rFonts w:hint="eastAsia" w:hAnsi="宋体"/>
                      <w:color w:val="auto"/>
                    </w:rPr>
                    <w:t>突发环境事件应对工作机制，提高预防、预警、应对能力。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2.</w:t>
                  </w:r>
                  <w:r>
                    <w:rPr>
                      <w:rFonts w:hint="eastAsia" w:hAnsi="宋体"/>
                      <w:color w:val="auto"/>
                    </w:rPr>
                    <w:t>危险废物按规范收集、贮存、转运、利用、处置。</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本项目将建设具有防风、防雨、防盗、防渗措施的危废库贮存运营过程中产生的危险废物，建成后与具有危险废物运输、处置的单位签订危废运输、处置合同。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r>
                    <w:rPr>
                      <w:rFonts w:hint="eastAsia"/>
                      <w:color w:val="auto"/>
                    </w:rPr>
                    <w:t>资源利用效率</w:t>
                  </w: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1.</w:t>
                  </w:r>
                  <w:r>
                    <w:rPr>
                      <w:rFonts w:hint="eastAsia" w:hAnsi="宋体"/>
                      <w:color w:val="auto"/>
                    </w:rPr>
                    <w:t>水资源、土地资源及能源利用上线严格落实</w:t>
                  </w:r>
                  <w:r>
                    <w:rPr>
                      <w:rFonts w:hint="eastAsia"/>
                      <w:color w:val="auto"/>
                    </w:rPr>
                    <w:t>“</w:t>
                  </w:r>
                  <w:r>
                    <w:rPr>
                      <w:rFonts w:hint="eastAsia" w:hAnsi="宋体"/>
                      <w:color w:val="auto"/>
                    </w:rPr>
                    <w:t>十四五</w:t>
                  </w:r>
                  <w:r>
                    <w:rPr>
                      <w:rFonts w:hint="eastAsia"/>
                      <w:color w:val="auto"/>
                    </w:rPr>
                    <w:t>”</w:t>
                  </w:r>
                  <w:r>
                    <w:rPr>
                      <w:rFonts w:hint="eastAsia" w:hAnsi="宋体"/>
                      <w:color w:val="auto"/>
                    </w:rPr>
                    <w:t>相关目标指标。能源利用上线严格落实碳达峰、碳中和相关要求。</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本项目占用的土地资源较少，项目建成后可减少区域内土葬对土地的占用。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2.</w:t>
                  </w:r>
                  <w:r>
                    <w:rPr>
                      <w:rFonts w:hint="eastAsia" w:hAnsi="宋体"/>
                      <w:color w:val="auto"/>
                    </w:rPr>
                    <w:t>加快推进岩溶大泉泉源和重点保护区的保护和生态修复。</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本项目位于坪上泉域内，距泉域重点保护区边界约</w:t>
                  </w:r>
                  <w:r>
                    <w:rPr>
                      <w:rFonts w:hint="eastAsia" w:cs="宋体"/>
                      <w:color w:val="auto"/>
                      <w:kern w:val="0"/>
                      <w:szCs w:val="21"/>
                      <w:lang w:val="en-US" w:eastAsia="zh-CN"/>
                    </w:rPr>
                    <w:t>7.5</w:t>
                  </w:r>
                  <w:r>
                    <w:rPr>
                      <w:rFonts w:hint="eastAsia" w:cs="宋体"/>
                      <w:color w:val="auto"/>
                      <w:kern w:val="0"/>
                      <w:szCs w:val="21"/>
                    </w:rPr>
                    <w:t>km；项目场地内通过硬化和绿化措施，可有效减少水土流失，其中绿化率3</w:t>
                  </w:r>
                  <w:r>
                    <w:rPr>
                      <w:rFonts w:hint="eastAsia" w:cs="宋体"/>
                      <w:color w:val="auto"/>
                      <w:kern w:val="0"/>
                      <w:szCs w:val="21"/>
                      <w:lang w:val="en-US" w:eastAsia="zh-CN"/>
                    </w:rPr>
                    <w:t>5</w:t>
                  </w:r>
                  <w:r>
                    <w:rPr>
                      <w:rFonts w:hint="eastAsia" w:cs="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3.</w:t>
                  </w:r>
                  <w:r>
                    <w:rPr>
                      <w:rFonts w:hint="eastAsia" w:hAnsi="宋体"/>
                      <w:color w:val="auto"/>
                    </w:rPr>
                    <w:t>到</w:t>
                  </w:r>
                  <w:r>
                    <w:rPr>
                      <w:rFonts w:hint="eastAsia"/>
                      <w:color w:val="auto"/>
                    </w:rPr>
                    <w:t>2022</w:t>
                  </w:r>
                  <w:r>
                    <w:rPr>
                      <w:rFonts w:hint="eastAsia" w:hAnsi="宋体"/>
                      <w:color w:val="auto"/>
                    </w:rPr>
                    <w:t>年，全市用水总量控制目标为</w:t>
                  </w:r>
                  <w:r>
                    <w:rPr>
                      <w:rFonts w:hint="eastAsia"/>
                      <w:color w:val="auto"/>
                    </w:rPr>
                    <w:t>7.9</w:t>
                  </w:r>
                  <w:r>
                    <w:rPr>
                      <w:rFonts w:hint="eastAsia" w:hAnsi="宋体"/>
                      <w:color w:val="auto"/>
                    </w:rPr>
                    <w:t>亿立方米。</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本项目用水量为</w:t>
                  </w:r>
                  <w:r>
                    <w:rPr>
                      <w:rFonts w:hint="eastAsia"/>
                      <w:color w:val="auto"/>
                      <w:szCs w:val="21"/>
                      <w:lang w:val="en-US" w:eastAsia="zh-CN"/>
                    </w:rPr>
                    <w:t>7977.1</w:t>
                  </w:r>
                  <w:r>
                    <w:rPr>
                      <w:rFonts w:hint="eastAsia" w:cs="宋体"/>
                      <w:color w:val="auto"/>
                      <w:kern w:val="0"/>
                      <w:szCs w:val="21"/>
                    </w:rPr>
                    <w:t>m</w:t>
                  </w:r>
                  <w:r>
                    <w:rPr>
                      <w:rFonts w:hint="eastAsia" w:cs="宋体"/>
                      <w:color w:val="auto"/>
                      <w:kern w:val="0"/>
                      <w:szCs w:val="21"/>
                      <w:vertAlign w:val="superscript"/>
                    </w:rPr>
                    <w:t>3</w:t>
                  </w:r>
                  <w:r>
                    <w:rPr>
                      <w:rFonts w:hint="eastAsia" w:cs="宋体"/>
                      <w:color w:val="auto"/>
                      <w:kern w:val="0"/>
                      <w:szCs w:val="21"/>
                    </w:rPr>
                    <w:t>/a，占全市用水总量控制目标量的</w:t>
                  </w:r>
                  <w:r>
                    <w:rPr>
                      <w:rFonts w:hint="eastAsia" w:cs="宋体"/>
                      <w:color w:val="auto"/>
                      <w:kern w:val="0"/>
                      <w:szCs w:val="21"/>
                      <w:lang w:val="en-US" w:eastAsia="zh-CN"/>
                    </w:rPr>
                    <w:t>1.01</w:t>
                  </w:r>
                  <w:r>
                    <w:rPr>
                      <w:rFonts w:hint="eastAsia" w:cs="宋体"/>
                      <w:color w:val="auto"/>
                      <w:kern w:val="0"/>
                      <w:szCs w:val="21"/>
                    </w:rPr>
                    <w:t>×10</w:t>
                  </w:r>
                  <w:r>
                    <w:rPr>
                      <w:rFonts w:hint="eastAsia" w:cs="宋体"/>
                      <w:color w:val="auto"/>
                      <w:kern w:val="0"/>
                      <w:szCs w:val="21"/>
                      <w:vertAlign w:val="superscript"/>
                    </w:rPr>
                    <w:t>-4</w:t>
                  </w:r>
                  <w:r>
                    <w:rPr>
                      <w:rFonts w:hint="eastAsia" w:cs="宋体"/>
                      <w:color w:val="auto"/>
                      <w:kern w:val="0"/>
                      <w:szCs w:val="21"/>
                    </w:rPr>
                    <w:t>%，占用量较小。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olor w:val="auto"/>
                    </w:rPr>
                    <w:t>4.</w:t>
                  </w:r>
                  <w:r>
                    <w:rPr>
                      <w:rFonts w:hint="eastAsia" w:hAnsi="宋体"/>
                      <w:color w:val="auto"/>
                    </w:rPr>
                    <w:t>忻州市忻府区、原平市、定襄县实现平原地区散煤清零。</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本项目位于五台县，火化炉辅助燃料为轻质柴油；项目无煤炭消耗。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rPr>
                  </w:pPr>
                  <w:r>
                    <w:rPr>
                      <w:rFonts w:hint="eastAsia"/>
                      <w:color w:val="auto"/>
                    </w:rPr>
                    <w:t>5.</w:t>
                  </w:r>
                  <w:r>
                    <w:rPr>
                      <w:rFonts w:hint="eastAsia" w:hAnsi="宋体"/>
                      <w:color w:val="auto"/>
                    </w:rPr>
                    <w:t>全市城市建成区绿化覆盖率</w:t>
                  </w:r>
                  <w:r>
                    <w:rPr>
                      <w:rFonts w:hint="eastAsia"/>
                      <w:color w:val="auto"/>
                    </w:rPr>
                    <w:t>2022</w:t>
                  </w:r>
                  <w:r>
                    <w:rPr>
                      <w:rFonts w:hint="eastAsia" w:hAnsi="宋体"/>
                      <w:color w:val="auto"/>
                    </w:rPr>
                    <w:t>年达到</w:t>
                  </w:r>
                  <w:r>
                    <w:rPr>
                      <w:rFonts w:hint="eastAsia"/>
                      <w:color w:val="auto"/>
                    </w:rPr>
                    <w:t>42%</w:t>
                  </w:r>
                  <w:r>
                    <w:rPr>
                      <w:rFonts w:hint="eastAsia" w:hAnsi="宋体"/>
                      <w:color w:val="auto"/>
                    </w:rPr>
                    <w:t>以上，城市国土绿化品质有效提升。</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本项目距五台县中心城区边界及建成区边界约</w:t>
                  </w:r>
                  <w:r>
                    <w:rPr>
                      <w:rFonts w:hint="eastAsia" w:cs="宋体"/>
                      <w:color w:val="auto"/>
                      <w:kern w:val="0"/>
                      <w:szCs w:val="21"/>
                      <w:lang w:val="en-US" w:eastAsia="zh-CN"/>
                    </w:rPr>
                    <w:t>5.3</w:t>
                  </w:r>
                  <w:r>
                    <w:rPr>
                      <w:rFonts w:hint="eastAsia" w:cs="宋体"/>
                      <w:color w:val="auto"/>
                      <w:kern w:val="0"/>
                      <w:szCs w:val="21"/>
                    </w:rPr>
                    <w:t>km，不在城市建成区范围内，对建成区绿化覆盖率的影响较小。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dxa"/>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auto"/>
                      <w:kern w:val="0"/>
                      <w:szCs w:val="21"/>
                    </w:rPr>
                  </w:pPr>
                </w:p>
              </w:tc>
              <w:tc>
                <w:tcPr>
                  <w:tcW w:w="3816"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rPr>
                  </w:pPr>
                  <w:r>
                    <w:rPr>
                      <w:rFonts w:hint="eastAsia"/>
                      <w:color w:val="auto"/>
                    </w:rPr>
                    <w:t>6.</w:t>
                  </w:r>
                  <w:r>
                    <w:rPr>
                      <w:rFonts w:hint="eastAsia" w:hAnsi="宋体"/>
                      <w:color w:val="auto"/>
                    </w:rPr>
                    <w:t>新建矿山必须按照绿色矿山标准建设，到</w:t>
                  </w:r>
                  <w:r>
                    <w:rPr>
                      <w:rFonts w:hint="eastAsia"/>
                      <w:color w:val="auto"/>
                    </w:rPr>
                    <w:t>2025</w:t>
                  </w:r>
                  <w:r>
                    <w:rPr>
                      <w:rFonts w:hint="eastAsia" w:hAnsi="宋体"/>
                      <w:color w:val="auto"/>
                    </w:rPr>
                    <w:t>年基本完成历史遗留矿山地质环境问题恢复治理工作，实现全市矿山地质环境根本好转。</w:t>
                  </w:r>
                </w:p>
              </w:tc>
              <w:tc>
                <w:tcPr>
                  <w:tcW w:w="3850" w:type="dxa"/>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本项目不属于矿山企业。</w:t>
                  </w:r>
                </w:p>
              </w:tc>
            </w:tr>
          </w:tbl>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s="宋体"/>
                <w:color w:val="auto"/>
                <w:kern w:val="0"/>
                <w:sz w:val="24"/>
                <w:lang w:val="en-US" w:eastAsia="zh-CN"/>
              </w:rPr>
              <w:t>综上所述，</w:t>
            </w:r>
            <w:r>
              <w:rPr>
                <w:rFonts w:hint="eastAsia"/>
                <w:color w:val="auto"/>
                <w:kern w:val="0"/>
                <w:sz w:val="24"/>
              </w:rPr>
              <w:t>通过与《忻州市“三线一单”生态环境分区管控实施方案》中生态环境总体准入清单的符合性分析可知，项目</w:t>
            </w:r>
            <w:r>
              <w:rPr>
                <w:rFonts w:hint="eastAsia" w:cs="宋体"/>
                <w:color w:val="auto"/>
                <w:kern w:val="0"/>
                <w:sz w:val="24"/>
              </w:rPr>
              <w:t>基本符合《忻州市“三线一单”生态环境分区管控实施方案》中生态环境总体准入清单的管控要求。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综上，本项目的建设符合“三线一单”的管控原则</w:t>
            </w:r>
            <w:r>
              <w:rPr>
                <w:rFonts w:hint="eastAsia"/>
                <w:color w:val="auto"/>
                <w:kern w:val="0"/>
                <w:sz w:val="24"/>
                <w:lang w:val="en-US" w:eastAsia="zh-CN"/>
              </w:rPr>
              <w:t>要求</w:t>
            </w:r>
            <w:r>
              <w:rPr>
                <w:rFonts w:hint="eastAsia" w:ascii="宋体" w:hAnsi="宋体" w:cs="宋体"/>
                <w:color w:val="auto"/>
                <w:kern w:val="0"/>
                <w:sz w:val="24"/>
              </w:rPr>
              <w:t>。</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bCs/>
                <w:color w:val="auto"/>
                <w:sz w:val="24"/>
              </w:rPr>
              <w:t>2、</w:t>
            </w:r>
            <w:r>
              <w:rPr>
                <w:rFonts w:hint="eastAsia"/>
                <w:b/>
                <w:color w:val="auto"/>
                <w:sz w:val="24"/>
              </w:rPr>
              <w:t>五台县乡镇水源地</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val="en-US" w:eastAsia="zh-CN"/>
              </w:rPr>
            </w:pPr>
            <w:r>
              <w:rPr>
                <w:rFonts w:hint="eastAsia"/>
                <w:color w:val="auto"/>
                <w:sz w:val="24"/>
                <w:lang w:val="en-US" w:eastAsia="zh-CN"/>
              </w:rPr>
              <w:t>略</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lang w:val="en-US" w:eastAsia="zh-CN"/>
              </w:rPr>
              <w:t>本项目与五台县</w:t>
            </w:r>
            <w:r>
              <w:rPr>
                <w:rFonts w:hint="eastAsia"/>
                <w:color w:val="auto"/>
                <w:sz w:val="24"/>
              </w:rPr>
              <w:t>集中供水水源地</w:t>
            </w:r>
            <w:r>
              <w:rPr>
                <w:rFonts w:hint="eastAsia"/>
                <w:color w:val="auto"/>
                <w:sz w:val="24"/>
                <w:lang w:val="en-US" w:eastAsia="zh-CN"/>
              </w:rPr>
              <w:t>相对位置</w:t>
            </w:r>
            <w:r>
              <w:rPr>
                <w:rFonts w:hint="eastAsia"/>
                <w:color w:val="auto"/>
                <w:sz w:val="24"/>
              </w:rPr>
              <w:t>见附图6</w:t>
            </w:r>
            <w:r>
              <w:rPr>
                <w:rFonts w:hint="eastAsia"/>
                <w:color w:val="auto"/>
                <w:sz w:val="24"/>
                <w:lang w:eastAsia="zh-CN"/>
              </w:rPr>
              <w:t>，</w:t>
            </w:r>
            <w:r>
              <w:rPr>
                <w:rFonts w:hint="eastAsia"/>
                <w:color w:val="auto"/>
                <w:sz w:val="24"/>
                <w:lang w:val="en-US" w:eastAsia="zh-CN"/>
              </w:rPr>
              <w:t>东冶镇集中供水水源地保护区划分图见附图7</w:t>
            </w:r>
            <w:r>
              <w:rPr>
                <w:rFonts w:hint="eastAsia"/>
                <w:color w:val="auto"/>
                <w:sz w:val="24"/>
              </w:rPr>
              <w:t>。</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bCs/>
                <w:color w:val="auto"/>
                <w:sz w:val="24"/>
              </w:rPr>
              <w:t>3、</w:t>
            </w:r>
            <w:r>
              <w:rPr>
                <w:rFonts w:hint="eastAsia"/>
                <w:b/>
                <w:color w:val="auto"/>
                <w:sz w:val="24"/>
              </w:rPr>
              <w:t>坪上泉域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坪上泉出露于五台县南部约30km的</w:t>
            </w:r>
            <w:r>
              <w:rPr>
                <w:rFonts w:hint="eastAsia"/>
                <w:color w:val="auto"/>
                <w:sz w:val="24"/>
                <w:lang w:val="en-US" w:eastAsia="zh-CN"/>
              </w:rPr>
              <w:t>滹沱</w:t>
            </w:r>
            <w:r>
              <w:rPr>
                <w:rFonts w:hint="eastAsia"/>
                <w:color w:val="auto"/>
                <w:sz w:val="24"/>
              </w:rPr>
              <w:t>河、清水河会合口上下游河谷中，是以散泉群形式出流的岩溶水排泄带。据1994年调查，</w:t>
            </w:r>
            <w:r>
              <w:rPr>
                <w:rFonts w:hint="eastAsia"/>
                <w:color w:val="auto"/>
                <w:sz w:val="24"/>
                <w:lang w:val="en-US" w:eastAsia="zh-CN"/>
              </w:rPr>
              <w:t>滹沱</w:t>
            </w:r>
            <w:r>
              <w:rPr>
                <w:rFonts w:hint="eastAsia"/>
                <w:color w:val="auto"/>
                <w:sz w:val="24"/>
              </w:rPr>
              <w:t>河甲子湾村以南、清水河胡家庄以西至戎家庄村东的泉域边界内，有大小泉点221个，构成4个泉组；其中</w:t>
            </w:r>
            <w:r>
              <w:rPr>
                <w:rFonts w:hint="eastAsia"/>
                <w:color w:val="auto"/>
                <w:sz w:val="24"/>
                <w:lang w:val="en-US" w:eastAsia="zh-CN"/>
              </w:rPr>
              <w:t>滹沱</w:t>
            </w:r>
            <w:r>
              <w:rPr>
                <w:rFonts w:hint="eastAsia"/>
                <w:color w:val="auto"/>
                <w:sz w:val="24"/>
              </w:rPr>
              <w:t>河区有甲子湾、水泉湾、段家庄3个泉组；清水河区为李家庄泉组(含胡家庄、耿家会、李家庄、坪上散泉群)。此外，在泉域西南端水头沟有孤立出流的大湾泉，它们组成坪上泉。</w:t>
            </w:r>
            <w:r>
              <w:rPr>
                <w:rFonts w:hint="eastAsia"/>
                <w:color w:val="auto"/>
                <w:sz w:val="24"/>
                <w:lang w:val="en-US" w:eastAsia="zh-CN"/>
              </w:rPr>
              <w:t>滹沱</w:t>
            </w:r>
            <w:r>
              <w:rPr>
                <w:rFonts w:hint="eastAsia"/>
                <w:color w:val="auto"/>
                <w:sz w:val="24"/>
              </w:rPr>
              <w:t>河在含水系统内三次切穿区域岩溶含水层底板，故坪上泉属侵蚀、接触、溢流全排型泉。</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泉水多年平均总流量为4.10m</w:t>
            </w:r>
            <w:r>
              <w:rPr>
                <w:rFonts w:hint="eastAsia"/>
                <w:color w:val="auto"/>
                <w:sz w:val="24"/>
                <w:vertAlign w:val="superscript"/>
              </w:rPr>
              <w:t>3</w:t>
            </w:r>
            <w:r>
              <w:rPr>
                <w:rFonts w:hint="eastAsia"/>
                <w:color w:val="auto"/>
                <w:sz w:val="24"/>
              </w:rPr>
              <w:t>/s (1967~1992年)，各泉组流量据1994年观测资料，水泉湾泉纽0.75m</w:t>
            </w:r>
            <w:r>
              <w:rPr>
                <w:rFonts w:hint="eastAsia"/>
                <w:color w:val="auto"/>
                <w:sz w:val="24"/>
                <w:vertAlign w:val="superscript"/>
              </w:rPr>
              <w:t>3</w:t>
            </w:r>
            <w:r>
              <w:rPr>
                <w:rFonts w:hint="eastAsia"/>
                <w:color w:val="auto"/>
                <w:sz w:val="24"/>
              </w:rPr>
              <w:t>/s，段家庄泉组0.66m</w:t>
            </w:r>
            <w:r>
              <w:rPr>
                <w:rFonts w:hint="eastAsia"/>
                <w:color w:val="auto"/>
                <w:sz w:val="24"/>
                <w:vertAlign w:val="superscript"/>
              </w:rPr>
              <w:t>3</w:t>
            </w:r>
            <w:r>
              <w:rPr>
                <w:rFonts w:hint="eastAsia"/>
                <w:color w:val="auto"/>
                <w:sz w:val="24"/>
              </w:rPr>
              <w:t>/s，李家庄泉组0.94m</w:t>
            </w:r>
            <w:r>
              <w:rPr>
                <w:rFonts w:hint="eastAsia"/>
                <w:color w:val="auto"/>
                <w:sz w:val="24"/>
                <w:vertAlign w:val="superscript"/>
              </w:rPr>
              <w:t>3</w:t>
            </w:r>
            <w:r>
              <w:rPr>
                <w:rFonts w:hint="eastAsia"/>
                <w:color w:val="auto"/>
                <w:sz w:val="24"/>
              </w:rPr>
              <w:t>/s，大湾泉0.20m</w:t>
            </w:r>
            <w:r>
              <w:rPr>
                <w:rFonts w:hint="eastAsia"/>
                <w:color w:val="auto"/>
                <w:sz w:val="24"/>
                <w:vertAlign w:val="superscript"/>
              </w:rPr>
              <w:t>3</w:t>
            </w:r>
            <w:r>
              <w:rPr>
                <w:rFonts w:hint="eastAsia"/>
                <w:color w:val="auto"/>
                <w:sz w:val="24"/>
              </w:rPr>
              <w:t>/s，甲子湾泉0.12 m</w:t>
            </w:r>
            <w:r>
              <w:rPr>
                <w:rFonts w:hint="eastAsia"/>
                <w:color w:val="auto"/>
                <w:sz w:val="24"/>
                <w:vertAlign w:val="superscript"/>
              </w:rPr>
              <w:t>3</w:t>
            </w:r>
            <w:r>
              <w:rPr>
                <w:rFonts w:hint="eastAsia"/>
                <w:color w:val="auto"/>
                <w:sz w:val="24"/>
              </w:rPr>
              <w:t>/s。水泉湾、段家庄、李家庄泉组是坪上泉主体。泉水出露标高：甲子湾泉组710.9～713.3m，水泉湾泉639.9 ~699.7m，段家庄泉组678.8~672.8m，李家庄泉组699～659.4m，大湾泉700m。泉水出露地层除水泉湾组为奥陶系中统下马家沟组外，其余均为寒武系上统或中统。</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泉水水质优良，属HCO,-Cu·Mg型水，矿化度一般在212~333mg/l，个别415mg/1(甲子湾泉)，总硬度187.2~241.2mg/l，为良好的生活及工农业用水。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地处山西省中东部的五台山区及系舟山区的北端，属中山地形，间夹山间盆地(茹村、五台、豆村盆地)和河流谷地，地形高程一般1000~.3000m，相对切割深度500~1000m，总地形是北高南低，北部最高峰北台顶3058m，南庄附近</w:t>
            </w:r>
            <w:r>
              <w:rPr>
                <w:rFonts w:hint="eastAsia"/>
                <w:color w:val="auto"/>
                <w:sz w:val="24"/>
                <w:lang w:val="en-US" w:eastAsia="zh-CN"/>
              </w:rPr>
              <w:t>滹沱</w:t>
            </w:r>
            <w:r>
              <w:rPr>
                <w:rFonts w:hint="eastAsia"/>
                <w:color w:val="auto"/>
                <w:sz w:val="24"/>
              </w:rPr>
              <w:t>河谷最低590m。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泉域内主要河流有</w:t>
            </w:r>
            <w:r>
              <w:rPr>
                <w:rFonts w:hint="eastAsia"/>
                <w:color w:val="auto"/>
                <w:sz w:val="24"/>
                <w:lang w:val="en-US" w:eastAsia="zh-CN"/>
              </w:rPr>
              <w:t>滹沱</w:t>
            </w:r>
            <w:r>
              <w:rPr>
                <w:rFonts w:hint="eastAsia"/>
                <w:color w:val="auto"/>
                <w:sz w:val="24"/>
              </w:rPr>
              <w:t>河及其支流清水河，属海河水系。</w:t>
            </w:r>
            <w:r>
              <w:rPr>
                <w:rFonts w:hint="eastAsia"/>
                <w:color w:val="auto"/>
                <w:sz w:val="24"/>
                <w:lang w:val="en-US" w:eastAsia="zh-CN"/>
              </w:rPr>
              <w:t>滹沱</w:t>
            </w:r>
            <w:r>
              <w:rPr>
                <w:rFonts w:hint="eastAsia"/>
                <w:color w:val="auto"/>
                <w:sz w:val="24"/>
              </w:rPr>
              <w:t>河自北而南穿过本区为过境河流，区内河长38km，多年平均径流量14.87m</w:t>
            </w:r>
            <w:r>
              <w:rPr>
                <w:rFonts w:hint="eastAsia"/>
                <w:color w:val="auto"/>
                <w:sz w:val="24"/>
                <w:vertAlign w:val="superscript"/>
              </w:rPr>
              <w:t>3</w:t>
            </w:r>
            <w:r>
              <w:rPr>
                <w:rFonts w:hint="eastAsia"/>
                <w:color w:val="auto"/>
                <w:sz w:val="24"/>
              </w:rPr>
              <w:t>/s(南庄站)。清水河发源于五台山中台，在坪上村汇入滹沱河，据南坡站资料，多年平均径流量3.78m</w:t>
            </w:r>
            <w:r>
              <w:rPr>
                <w:rFonts w:hint="eastAsia"/>
                <w:color w:val="auto"/>
                <w:sz w:val="24"/>
                <w:vertAlign w:val="superscript"/>
              </w:rPr>
              <w:t>3</w:t>
            </w:r>
            <w:r>
              <w:rPr>
                <w:rFonts w:hint="eastAsia"/>
                <w:color w:val="auto"/>
                <w:sz w:val="24"/>
              </w:rPr>
              <w:t>/s。其在岩溶区流长50km，因清水漏失，胡家庄以上大部分为干谷，以下因泉水出流时有清水。</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泉域属大陆性半干早气候，高寒微湿。降水量受地形影响变化大，山区迎风坡大，盆地河谷区小，多年平均降水量分别为537</w:t>
            </w:r>
            <w:r>
              <w:rPr>
                <w:rFonts w:hint="eastAsia"/>
                <w:color w:val="auto"/>
                <w:sz w:val="24"/>
                <w:lang w:val="en-US" w:eastAsia="zh-CN"/>
              </w:rPr>
              <w:t>-</w:t>
            </w:r>
            <w:r>
              <w:rPr>
                <w:rFonts w:hint="eastAsia"/>
                <w:color w:val="auto"/>
                <w:sz w:val="24"/>
              </w:rPr>
              <w:t>463mm。</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内出露地层有：(1)太古界、元古界深、浅变质岩，广泛分布于泉域北、东及东南部，是岩溶含水系统基底及补给岩溶水的地表水产流区；(2)下古生界寒武系、奥陶系碳酸盐岩，分布于五台山南部及系舟山区，组成轴向北东的复式向斜构造，构成坪上泉岩溶含水系统；(3)上古生界石碳系、二迭系碎屑岩，零星覆盖在奥陶系之上，使之成为埋藏型岩溶区；(4)新生界上第三系、第四系松散岩，覆盖于各时代之上，在碳酸盐岩之上都形成覆盖型岩溶区。</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岩浴水含水岩组主要是奥陶系中统下马家沟组及寒武系上、中统，以寒武系最普遍。其中以下马家沟组及寒武系上统最强，中统次之。</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岩溶水的补给来源主要是大气降水在灰岩裸露区的入渗，其次是清水河干、支流地表水的渗漏。地下水主要自东北、东、南方向向排泄区汇流，因河流侵蚀而成泉排泄。</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南、东、北部边界及西北部边界：为清水河流域的地表分水岭。南起五台县陈家庄南分水岭、向东北经雷公顶-老虎头-南坨-长城岭-东台顶-北台顶-中台顶-香峪尖-凡支山-大柏山-娘娘垴，折向南沿小银河与滹沱河分水岭到黄土坡村的南山。</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西部边界：由黄土坡村南山向西经南湾村、青山底至藏孤台村的系舟山麓，以寒武系下统与中统的地层线为界。</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西南部边界：由藏孤台村南的系舟山北麓，沿黑小尖山-将军山(天翅垴) -白玉沟南山的地表分水岭再绕以南庄戎家庄以东滹沱河两岸山坡至陈家庄南地表分水岭。</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由上述边界确定泉域面积3035km</w:t>
            </w:r>
            <w:r>
              <w:rPr>
                <w:rFonts w:hint="eastAsia"/>
                <w:color w:val="auto"/>
                <w:sz w:val="24"/>
                <w:vertAlign w:val="superscript"/>
              </w:rPr>
              <w:t>2</w:t>
            </w:r>
            <w:r>
              <w:rPr>
                <w:rFonts w:hint="eastAsia"/>
                <w:color w:val="auto"/>
                <w:sz w:val="24"/>
              </w:rPr>
              <w:t>，由寒武、奥陶系碳酸盐岩组成的含水系统面积855km</w:t>
            </w:r>
            <w:r>
              <w:rPr>
                <w:rFonts w:hint="eastAsia"/>
                <w:color w:val="auto"/>
                <w:sz w:val="24"/>
                <w:vertAlign w:val="superscript"/>
              </w:rPr>
              <w:t>2</w:t>
            </w:r>
            <w:r>
              <w:rPr>
                <w:rFonts w:hint="eastAsia"/>
                <w:color w:val="auto"/>
                <w:sz w:val="24"/>
              </w:rPr>
              <w:t>,其中可溶岩裸露区面积750km</w:t>
            </w:r>
            <w:r>
              <w:rPr>
                <w:rFonts w:hint="eastAsia"/>
                <w:color w:val="auto"/>
                <w:sz w:val="24"/>
                <w:vertAlign w:val="superscript"/>
              </w:rPr>
              <w:t>2</w:t>
            </w:r>
            <w:r>
              <w:rPr>
                <w:rFonts w:hint="eastAsia"/>
                <w:color w:val="auto"/>
                <w:sz w:val="24"/>
              </w:rPr>
              <w:t>，覆盖埋藏区105km</w:t>
            </w:r>
            <w:r>
              <w:rPr>
                <w:rFonts w:hint="eastAsia"/>
                <w:color w:val="auto"/>
                <w:sz w:val="24"/>
                <w:vertAlign w:val="superscript"/>
              </w:rPr>
              <w:t>2</w:t>
            </w:r>
            <w:r>
              <w:rPr>
                <w:rFonts w:hint="eastAsia"/>
                <w:color w:val="auto"/>
                <w:sz w:val="24"/>
              </w:rPr>
              <w:t>。泉域以清水河流域为主体，行政区划上主要属忻州地区五台县，少部分为定襄县。</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重点保护区范围</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清水河、滹沱河河谷泉水集中出露带：其范围为滹沱河南湾村、清水河胡家庄以下至滹沱河戎家庄以东泉域边界的两河河谷地带，面积约8.0km</w:t>
            </w:r>
            <w:r>
              <w:rPr>
                <w:rFonts w:hint="eastAsia"/>
                <w:color w:val="auto"/>
                <w:sz w:val="24"/>
                <w:vertAlign w:val="superscript"/>
              </w:rPr>
              <w:t>2</w:t>
            </w:r>
            <w:r>
              <w:rPr>
                <w:rFonts w:hint="eastAsia"/>
                <w:color w:val="auto"/>
                <w:sz w:val="24"/>
              </w:rPr>
              <w:t>。</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泉域岩溶地下水资源及其开发利用</w:t>
            </w:r>
            <w:r>
              <w:rPr>
                <w:rFonts w:hint="eastAsia"/>
                <w:color w:val="auto"/>
                <w:sz w:val="24"/>
                <w:lang w:eastAsia="zh-CN"/>
              </w:rPr>
              <w:t>：</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根据滹沱河上下游济胜桥、南庄水文站及清水河南坡水文站多年观测资料，利用水文分割法计算坪上泉多年平均天然排泄最为4.10m</w:t>
            </w:r>
            <w:r>
              <w:rPr>
                <w:rFonts w:hint="eastAsia"/>
                <w:color w:val="auto"/>
                <w:sz w:val="24"/>
                <w:vertAlign w:val="superscript"/>
              </w:rPr>
              <w:t>3</w:t>
            </w:r>
            <w:r>
              <w:rPr>
                <w:rFonts w:hint="eastAsia"/>
                <w:color w:val="auto"/>
                <w:sz w:val="24"/>
              </w:rPr>
              <w:t>/s(1967~1992年)，因该泉为全排型泉，其值为岩溶水天然资源。经计算，97%频率的泉水资源量为2.24m</w:t>
            </w:r>
            <w:r>
              <w:rPr>
                <w:rFonts w:hint="eastAsia"/>
                <w:color w:val="auto"/>
                <w:sz w:val="24"/>
                <w:vertAlign w:val="superscript"/>
              </w:rPr>
              <w:t>3</w:t>
            </w:r>
            <w:r>
              <w:rPr>
                <w:rFonts w:hint="eastAsia"/>
                <w:color w:val="auto"/>
                <w:sz w:val="24"/>
              </w:rPr>
              <w:t>/s。</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泉域岩溶水开发利用程度很低，排泄带泉水除少量用作小型发电外，其人工开采井仪12眼，年采水量约180万m</w:t>
            </w:r>
            <w:r>
              <w:rPr>
                <w:rFonts w:hint="eastAsia"/>
                <w:color w:val="auto"/>
                <w:sz w:val="24"/>
                <w:vertAlign w:val="superscript"/>
              </w:rPr>
              <w:t>3</w:t>
            </w:r>
            <w:r>
              <w:rPr>
                <w:rFonts w:hint="eastAsia"/>
                <w:color w:val="auto"/>
                <w:sz w:val="24"/>
              </w:rPr>
              <w:t>，主要用于人畜供水。</w:t>
            </w:r>
          </w:p>
          <w:p>
            <w:pPr>
              <w:keepNext w:val="0"/>
              <w:keepLines w:val="0"/>
              <w:suppressLineNumbers w:val="0"/>
              <w:spacing w:before="0" w:beforeAutospacing="0" w:after="0" w:afterAutospacing="0" w:line="480" w:lineRule="exact"/>
              <w:ind w:left="0" w:right="0" w:firstLine="464" w:firstLineChars="200"/>
              <w:rPr>
                <w:rFonts w:hint="default" w:ascii="Times New Roman" w:hAnsi="Times New Roman" w:cs="Times New Roman"/>
                <w:color w:val="auto"/>
                <w:sz w:val="24"/>
              </w:rPr>
            </w:pPr>
            <w:r>
              <w:rPr>
                <w:rFonts w:hint="default" w:ascii="Times New Roman" w:hAnsi="Times New Roman" w:cs="Times New Roman"/>
                <w:color w:val="auto"/>
                <w:spacing w:val="-4"/>
                <w:sz w:val="24"/>
              </w:rPr>
              <w:t>本项目不在泉域重点保护范围内，距泉域重点保护区约</w:t>
            </w:r>
            <w:r>
              <w:rPr>
                <w:rFonts w:hint="default" w:ascii="Times New Roman" w:hAnsi="Times New Roman" w:cs="Times New Roman"/>
                <w:color w:val="auto"/>
                <w:spacing w:val="-4"/>
                <w:sz w:val="24"/>
                <w:lang w:val="en-US" w:eastAsia="zh-CN"/>
              </w:rPr>
              <w:t>7.5</w:t>
            </w:r>
            <w:r>
              <w:rPr>
                <w:rFonts w:hint="default" w:ascii="Times New Roman" w:hAnsi="Times New Roman" w:cs="Times New Roman"/>
                <w:color w:val="auto"/>
                <w:spacing w:val="-4"/>
                <w:sz w:val="24"/>
              </w:rPr>
              <w:t>km。</w:t>
            </w:r>
            <w:r>
              <w:rPr>
                <w:rFonts w:hint="default" w:ascii="Times New Roman" w:hAnsi="Times New Roman" w:cs="Times New Roman"/>
                <w:color w:val="auto"/>
                <w:spacing w:val="-4"/>
                <w:sz w:val="24"/>
                <w:lang w:val="en-US" w:eastAsia="zh-CN"/>
              </w:rPr>
              <w:t>本项目与</w:t>
            </w:r>
            <w:r>
              <w:rPr>
                <w:rFonts w:hint="default" w:ascii="Times New Roman" w:hAnsi="Times New Roman" w:cs="Times New Roman"/>
                <w:color w:val="auto"/>
                <w:spacing w:val="-4"/>
                <w:sz w:val="24"/>
              </w:rPr>
              <w:t>坪上泉域</w:t>
            </w:r>
            <w:r>
              <w:rPr>
                <w:rFonts w:hint="default" w:ascii="Times New Roman" w:hAnsi="Times New Roman" w:cs="Times New Roman"/>
                <w:color w:val="auto"/>
                <w:spacing w:val="-4"/>
                <w:sz w:val="24"/>
                <w:lang w:val="en-US" w:eastAsia="zh-CN"/>
              </w:rPr>
              <w:t>相对位置关系</w:t>
            </w:r>
            <w:r>
              <w:rPr>
                <w:rFonts w:hint="default" w:ascii="Times New Roman" w:hAnsi="Times New Roman" w:cs="Times New Roman"/>
                <w:color w:val="auto"/>
                <w:spacing w:val="-4"/>
                <w:sz w:val="24"/>
              </w:rPr>
              <w:t>图</w:t>
            </w:r>
            <w:r>
              <w:rPr>
                <w:rFonts w:hint="default" w:ascii="Times New Roman" w:hAnsi="Times New Roman" w:cs="Times New Roman"/>
                <w:color w:val="auto"/>
                <w:sz w:val="24"/>
              </w:rPr>
              <w:t>见附图</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bCs/>
                <w:color w:val="auto"/>
                <w:sz w:val="24"/>
              </w:rPr>
              <w:t>4、</w:t>
            </w:r>
            <w:r>
              <w:rPr>
                <w:rFonts w:hint="eastAsia"/>
                <w:b/>
                <w:color w:val="auto"/>
                <w:sz w:val="24"/>
              </w:rPr>
              <w:t>五台县城市总体规划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五台县城市总体规划》（2012-2030年），规划以建设可持续发展为导向，将五台县建设成为山西省重要的旅游城市之一，大力发展循环经济，形成具有产业特色明显，生态宜居的城市，以加快城镇化为核心，以统筹发展为前提，推进社会主义新农村建设，缩小城乡差距，实现城乡经济社会一体化，构建人与自然、社会、环境更加协调的和谐共生，面向世界的新五台。</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五台县域城镇空间结构为：“一心、一带，二辅”。</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“一心”即台城和沟南形成的中心城区。</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“一带”即沿忻阜高速的经济发展带。</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“二辅”即以东冶镇为代表的工业城镇和以旅游业为主的台怀镇，是未来五台县的东西两翼。</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综合考虑各城镇的地位、区位、辐射能力、服务范围、发展前景及行政区划等因素，将县内各城镇形成各具特色的职能分工，与全县产业布局相适应。规划将城镇职能划分为综合型、工贸型、旅游型和农贸型四种。城镇职能结构详见表1-</w:t>
            </w:r>
            <w:r>
              <w:rPr>
                <w:rFonts w:hint="eastAsia"/>
                <w:color w:val="auto"/>
                <w:sz w:val="24"/>
                <w:lang w:val="en-US" w:eastAsia="zh-CN"/>
              </w:rPr>
              <w:t>4</w:t>
            </w:r>
            <w:r>
              <w:rPr>
                <w:rFonts w:hint="eastAsia"/>
                <w:color w:val="auto"/>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4</w:t>
            </w:r>
            <w:r>
              <w:rPr>
                <w:rFonts w:hint="eastAsia" w:ascii="黑体" w:hAnsi="黑体" w:eastAsia="黑体"/>
                <w:bCs/>
                <w:color w:val="auto"/>
                <w:sz w:val="24"/>
              </w:rPr>
              <w:t xml:space="preserve">  城镇职能结构规划</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2"/>
              <w:gridCol w:w="815"/>
              <w:gridCol w:w="1253"/>
              <w:gridCol w:w="1845"/>
              <w:gridCol w:w="995"/>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0" w:type="pct"/>
                  <w:gridSpan w:val="2"/>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等级</w:t>
                  </w: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整合后城镇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105" w:rightChars="-50"/>
                    <w:jc w:val="center"/>
                    <w:rPr>
                      <w:rFonts w:hint="eastAsia"/>
                      <w:color w:val="auto"/>
                      <w:szCs w:val="21"/>
                    </w:rPr>
                  </w:pPr>
                  <w:r>
                    <w:rPr>
                      <w:rFonts w:hint="eastAsia"/>
                      <w:color w:val="auto"/>
                      <w:szCs w:val="21"/>
                    </w:rPr>
                    <w:t>整合现状乡镇</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105" w:rightChars="-50"/>
                    <w:jc w:val="center"/>
                    <w:rPr>
                      <w:rFonts w:hint="eastAsia"/>
                      <w:color w:val="auto"/>
                      <w:szCs w:val="21"/>
                    </w:rPr>
                  </w:pPr>
                  <w:r>
                    <w:rPr>
                      <w:rFonts w:hint="eastAsia"/>
                      <w:color w:val="auto"/>
                      <w:szCs w:val="21"/>
                    </w:rPr>
                    <w:t>职能类型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产业发展方向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I</w:t>
                  </w:r>
                </w:p>
              </w:tc>
              <w:tc>
                <w:tcPr>
                  <w:tcW w:w="48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中心城区</w:t>
                  </w: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中心城区</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台城镇、沟南乡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综合型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文化休闲、旅游接待、商贸物流、轻工业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II</w:t>
                  </w:r>
                </w:p>
              </w:tc>
              <w:tc>
                <w:tcPr>
                  <w:tcW w:w="48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副中心重点镇</w:t>
                  </w: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东冶镇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东冶镇、建安乡、神西乡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综合型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铝镁加工、商贸物流、教育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III</w:t>
                  </w:r>
                </w:p>
              </w:tc>
              <w:tc>
                <w:tcPr>
                  <w:tcW w:w="486"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重点镇</w:t>
                  </w: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茹村乡</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茹村乡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农贸型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规模农业、绿色农业、人文旅游、铝加工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豆村镇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豆村镇、蒋坊乡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农贸型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特色种植、养殖业、铁加工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台怀镇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台怀镇、灵境乡、金岗库乡、石咀乡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旅游型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佛文化体验、自然观光、旅游服务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IV</w:t>
                  </w:r>
                </w:p>
              </w:tc>
              <w:tc>
                <w:tcPr>
                  <w:tcW w:w="486"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一般镇</w:t>
                  </w: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白家庄镇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白家庄镇</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工贸型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矿产开采加工、陶瓷、水电风电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阳白乡</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阳白乡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工贸型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资源开发及加工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东雷乡</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东雷乡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农贸型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特色种植、农副产品加工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陈家庄乡</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陈家庄乡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农贸型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特色种植、农副产品加工、生态旅游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耿镇镇</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耿镇镇</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高洪口乡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农贸型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林牧业、特色种植、养殖业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486" w:type="pct"/>
                  <w:vMerge w:val="continue"/>
                  <w:vAlign w:val="center"/>
                </w:tcPr>
                <w:p>
                  <w:pPr>
                    <w:keepNext w:val="0"/>
                    <w:keepLines w:val="0"/>
                    <w:widowControl/>
                    <w:suppressLineNumbers w:val="0"/>
                    <w:spacing w:before="0" w:beforeAutospacing="0" w:after="0" w:afterAutospacing="0"/>
                    <w:ind w:left="0" w:right="0"/>
                    <w:jc w:val="center"/>
                    <w:rPr>
                      <w:rFonts w:hint="eastAsia"/>
                      <w:color w:val="auto"/>
                      <w:szCs w:val="21"/>
                    </w:rPr>
                  </w:pPr>
                </w:p>
              </w:tc>
              <w:tc>
                <w:tcPr>
                  <w:tcW w:w="747"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门限石乡</w:t>
                  </w:r>
                </w:p>
              </w:tc>
              <w:tc>
                <w:tcPr>
                  <w:tcW w:w="110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门限石乡</w:t>
                  </w:r>
                </w:p>
              </w:tc>
              <w:tc>
                <w:tcPr>
                  <w:tcW w:w="593"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旅游型</w:t>
                  </w:r>
                </w:p>
              </w:tc>
              <w:tc>
                <w:tcPr>
                  <w:tcW w:w="1870" w:type="pct"/>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自然观光、生态休闲、旅游服务</w:t>
                  </w:r>
                </w:p>
              </w:tc>
            </w:tr>
          </w:tbl>
          <w:p>
            <w:pPr>
              <w:pStyle w:val="74"/>
              <w:keepNext w:val="0"/>
              <w:keepLines w:val="0"/>
              <w:suppressLineNumbers w:val="0"/>
              <w:spacing w:before="0" w:beforeAutospacing="0" w:after="0" w:afterAutospacing="0" w:line="480" w:lineRule="exact"/>
              <w:ind w:left="0" w:right="0" w:firstLine="480"/>
              <w:rPr>
                <w:rFonts w:hint="eastAsia" w:ascii="Times New Roman" w:hAnsi="Times New Roman"/>
                <w:color w:val="auto"/>
                <w:sz w:val="24"/>
              </w:rPr>
            </w:pPr>
            <w:r>
              <w:rPr>
                <w:rFonts w:hint="eastAsia" w:ascii="Times New Roman" w:hAnsi="Times New Roman"/>
                <w:color w:val="auto"/>
                <w:sz w:val="24"/>
              </w:rPr>
              <w:t>根据县域内各个城镇的资源特色和产业发展优势，从东到西划分为三大经济分区，每个经济分区重点发展相应的产业。</w:t>
            </w:r>
          </w:p>
          <w:p>
            <w:pPr>
              <w:pStyle w:val="74"/>
              <w:keepNext w:val="0"/>
              <w:keepLines w:val="0"/>
              <w:suppressLineNumbers w:val="0"/>
              <w:spacing w:before="0" w:beforeAutospacing="0" w:after="0" w:afterAutospacing="0" w:line="480" w:lineRule="exact"/>
              <w:ind w:left="0" w:right="0" w:firstLine="480"/>
              <w:rPr>
                <w:rFonts w:hint="eastAsia"/>
                <w:color w:val="auto"/>
                <w:sz w:val="24"/>
              </w:rPr>
            </w:pPr>
            <w:r>
              <w:rPr>
                <w:rFonts w:hint="eastAsia"/>
                <w:color w:val="auto"/>
                <w:sz w:val="24"/>
              </w:rPr>
              <w:t>西部工贸经济区：</w:t>
            </w:r>
          </w:p>
          <w:p>
            <w:pPr>
              <w:pStyle w:val="74"/>
              <w:keepNext w:val="0"/>
              <w:keepLines w:val="0"/>
              <w:suppressLineNumbers w:val="0"/>
              <w:spacing w:before="0" w:beforeAutospacing="0" w:after="0" w:afterAutospacing="0" w:line="480" w:lineRule="exact"/>
              <w:ind w:left="0" w:right="0" w:firstLine="480"/>
              <w:rPr>
                <w:rFonts w:hint="eastAsia" w:ascii="Times New Roman" w:hAnsi="Times New Roman"/>
                <w:color w:val="auto"/>
                <w:sz w:val="24"/>
              </w:rPr>
            </w:pPr>
            <w:r>
              <w:rPr>
                <w:rFonts w:hint="eastAsia" w:ascii="Times New Roman" w:hAnsi="Times New Roman"/>
                <w:color w:val="auto"/>
                <w:sz w:val="24"/>
              </w:rPr>
              <w:t xml:space="preserve">包括中心城区、东冶、阳白、白家庄等镇，依托交通和资源优势，重点发展资源加工、能源、商贸物流等产业： </w:t>
            </w:r>
          </w:p>
          <w:p>
            <w:pPr>
              <w:pStyle w:val="74"/>
              <w:keepNext w:val="0"/>
              <w:keepLines w:val="0"/>
              <w:suppressLineNumbers w:val="0"/>
              <w:spacing w:before="0" w:beforeAutospacing="0" w:after="0" w:afterAutospacing="0" w:line="480" w:lineRule="exact"/>
              <w:ind w:left="0" w:right="0" w:firstLine="480"/>
              <w:rPr>
                <w:rFonts w:hint="eastAsia" w:ascii="Times New Roman" w:hAnsi="Times New Roman"/>
                <w:color w:val="auto"/>
                <w:sz w:val="24"/>
              </w:rPr>
            </w:pPr>
            <w:r>
              <w:rPr>
                <w:rFonts w:hint="eastAsia" w:ascii="Times New Roman" w:hAnsi="Times New Roman"/>
                <w:color w:val="auto"/>
                <w:sz w:val="24"/>
              </w:rPr>
              <w:t>中心城区：轻工业、镁加工、商贸市场；</w:t>
            </w:r>
          </w:p>
          <w:p>
            <w:pPr>
              <w:pStyle w:val="74"/>
              <w:keepNext w:val="0"/>
              <w:keepLines w:val="0"/>
              <w:suppressLineNumbers w:val="0"/>
              <w:spacing w:before="0" w:beforeAutospacing="0" w:after="0" w:afterAutospacing="0" w:line="480" w:lineRule="exact"/>
              <w:ind w:left="0" w:right="0" w:firstLine="480"/>
              <w:rPr>
                <w:rFonts w:hint="eastAsia" w:ascii="Times New Roman" w:hAnsi="Times New Roman"/>
                <w:color w:val="auto"/>
                <w:sz w:val="24"/>
              </w:rPr>
            </w:pPr>
            <w:r>
              <w:rPr>
                <w:rFonts w:hint="eastAsia" w:ascii="Times New Roman" w:hAnsi="Times New Roman"/>
                <w:color w:val="auto"/>
                <w:sz w:val="24"/>
              </w:rPr>
              <w:t>东冶—阳白：铝镁加工、矿产资源开发及深加工、仓储物流；</w:t>
            </w:r>
          </w:p>
          <w:p>
            <w:pPr>
              <w:pStyle w:val="74"/>
              <w:keepNext w:val="0"/>
              <w:keepLines w:val="0"/>
              <w:suppressLineNumbers w:val="0"/>
              <w:spacing w:before="0" w:beforeAutospacing="0" w:after="0" w:afterAutospacing="0" w:line="480" w:lineRule="exact"/>
              <w:ind w:left="0" w:right="0" w:firstLine="480"/>
              <w:rPr>
                <w:rFonts w:hint="eastAsia" w:ascii="Times New Roman" w:hAnsi="Times New Roman"/>
                <w:color w:val="auto"/>
                <w:sz w:val="24"/>
              </w:rPr>
            </w:pPr>
            <w:r>
              <w:rPr>
                <w:rFonts w:hint="eastAsia" w:ascii="Times New Roman" w:hAnsi="Times New Roman"/>
                <w:color w:val="auto"/>
                <w:sz w:val="24"/>
              </w:rPr>
              <w:t>白家庄：能源、特色建材、矿产资源开发利用。</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s="宋体"/>
                <w:color w:val="auto"/>
                <w:kern w:val="0"/>
                <w:sz w:val="24"/>
              </w:rPr>
              <w:t>本项目位于山西省忻州市五台县</w:t>
            </w:r>
            <w:r>
              <w:rPr>
                <w:rFonts w:hint="eastAsia" w:cs="宋体"/>
                <w:color w:val="auto"/>
                <w:kern w:val="0"/>
                <w:sz w:val="24"/>
                <w:lang w:val="en-US" w:eastAsia="zh-CN"/>
              </w:rPr>
              <w:t>沟南</w:t>
            </w:r>
            <w:r>
              <w:rPr>
                <w:rFonts w:hint="eastAsia" w:cs="宋体"/>
                <w:color w:val="auto"/>
                <w:kern w:val="0"/>
                <w:sz w:val="24"/>
              </w:rPr>
              <w:t>乡</w:t>
            </w:r>
            <w:r>
              <w:rPr>
                <w:rFonts w:hint="eastAsia" w:cs="宋体"/>
                <w:color w:val="auto"/>
                <w:kern w:val="0"/>
                <w:sz w:val="24"/>
                <w:lang w:val="en-US" w:eastAsia="zh-CN"/>
              </w:rPr>
              <w:t>南山</w:t>
            </w:r>
            <w:r>
              <w:rPr>
                <w:rFonts w:hint="eastAsia" w:cs="宋体"/>
                <w:color w:val="auto"/>
                <w:kern w:val="0"/>
                <w:sz w:val="24"/>
              </w:rPr>
              <w:t>村</w:t>
            </w:r>
            <w:r>
              <w:rPr>
                <w:rFonts w:hint="eastAsia"/>
                <w:color w:val="auto"/>
                <w:sz w:val="24"/>
                <w:szCs w:val="20"/>
              </w:rPr>
              <w:t>，不在五台县城市规划范围内，本项目</w:t>
            </w:r>
            <w:r>
              <w:rPr>
                <w:rFonts w:hint="eastAsia"/>
                <w:color w:val="auto"/>
                <w:sz w:val="24"/>
                <w:szCs w:val="20"/>
                <w:lang w:val="en-US" w:eastAsia="zh-CN"/>
              </w:rPr>
              <w:t>南</w:t>
            </w:r>
            <w:r>
              <w:rPr>
                <w:rFonts w:hint="eastAsia"/>
                <w:color w:val="auto"/>
                <w:sz w:val="24"/>
                <w:szCs w:val="20"/>
              </w:rPr>
              <w:t>距中心城区边界及建成区边界约</w:t>
            </w:r>
            <w:r>
              <w:rPr>
                <w:rFonts w:hint="eastAsia"/>
                <w:color w:val="auto"/>
                <w:sz w:val="24"/>
                <w:szCs w:val="20"/>
                <w:lang w:val="en-US" w:eastAsia="zh-CN"/>
              </w:rPr>
              <w:t>5.3</w:t>
            </w:r>
            <w:r>
              <w:rPr>
                <w:rFonts w:hint="eastAsia"/>
                <w:color w:val="auto"/>
                <w:sz w:val="24"/>
                <w:szCs w:val="20"/>
              </w:rPr>
              <w:t>km。</w:t>
            </w:r>
            <w:r>
              <w:rPr>
                <w:rFonts w:hint="eastAsia"/>
                <w:color w:val="auto"/>
                <w:sz w:val="24"/>
              </w:rPr>
              <w:t>本项目为殡仪馆建设项目，对区域建立布局合理、功能完善、生态文明的殡葬服务体系，实现殡葬公共服务覆盖全体城乡居民，实现殡葬习俗文明化和殡葬设施现代化具有重要意义，</w:t>
            </w:r>
            <w:r>
              <w:rPr>
                <w:rFonts w:hint="eastAsia"/>
                <w:color w:val="auto"/>
                <w:sz w:val="24"/>
                <w:lang w:val="en-US" w:eastAsia="zh-CN"/>
              </w:rPr>
              <w:t>本项目</w:t>
            </w:r>
            <w:r>
              <w:rPr>
                <w:rFonts w:hint="eastAsia"/>
                <w:color w:val="auto"/>
                <w:spacing w:val="-4"/>
                <w:sz w:val="24"/>
                <w:szCs w:val="20"/>
              </w:rPr>
              <w:t>不违背五台县城市发展规划。五台县城市总体规划图见附图</w:t>
            </w:r>
            <w:r>
              <w:rPr>
                <w:rFonts w:hint="eastAsia"/>
                <w:color w:val="auto"/>
                <w:spacing w:val="-4"/>
                <w:sz w:val="24"/>
                <w:szCs w:val="20"/>
                <w:lang w:val="en-US" w:eastAsia="zh-CN"/>
              </w:rPr>
              <w:t>9</w:t>
            </w:r>
            <w:r>
              <w:rPr>
                <w:rFonts w:hint="eastAsia"/>
                <w:color w:val="auto"/>
                <w:spacing w:val="-4"/>
                <w:sz w:val="24"/>
                <w:szCs w:val="20"/>
              </w:rPr>
              <w:t>。</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bCs/>
                <w:color w:val="auto"/>
                <w:sz w:val="24"/>
              </w:rPr>
              <w:t>5、</w:t>
            </w:r>
            <w:r>
              <w:rPr>
                <w:rFonts w:hint="eastAsia" w:ascii="宋体" w:hAnsi="宋体" w:cs="宋体"/>
                <w:b/>
                <w:bCs/>
                <w:color w:val="auto"/>
                <w:kern w:val="0"/>
                <w:sz w:val="24"/>
              </w:rPr>
              <w:t>五台县生态功能区划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kern w:val="0"/>
                <w:sz w:val="24"/>
              </w:rPr>
              <w:t>根据《五台县生态功能区划》，项目区位于Ⅳ五台山坳陷盆地水土保持生态功能区；该区包括台城镇、东雷、阳白、沟南西部、东冶镇中部及北部、茹村中部及北部、蒋坊中西部及南部、豆村镇南部，总面积691.8km</w:t>
            </w:r>
            <w:r>
              <w:rPr>
                <w:rFonts w:hint="eastAsia"/>
                <w:color w:val="auto"/>
                <w:kern w:val="0"/>
                <w:sz w:val="24"/>
                <w:vertAlign w:val="superscript"/>
              </w:rPr>
              <w:t>2</w:t>
            </w:r>
            <w:r>
              <w:rPr>
                <w:rFonts w:hint="eastAsia"/>
                <w:color w:val="auto"/>
                <w:kern w:val="0"/>
                <w:sz w:val="24"/>
              </w:rPr>
              <w:t>。占县域面积24.2%。</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本项目与</w:t>
            </w:r>
            <w:r>
              <w:rPr>
                <w:rFonts w:hint="eastAsia"/>
                <w:color w:val="auto"/>
                <w:kern w:val="0"/>
                <w:sz w:val="24"/>
              </w:rPr>
              <w:t>Ⅳ五台山坳陷盆地水土保持生态功能区的保护措施和发展方向符合性分析见下表。本项目与五台县生态功能区划相对位置见附图</w:t>
            </w:r>
            <w:r>
              <w:rPr>
                <w:rFonts w:hint="eastAsia"/>
                <w:color w:val="auto"/>
                <w:kern w:val="0"/>
                <w:sz w:val="24"/>
                <w:lang w:val="en-US" w:eastAsia="zh-CN"/>
              </w:rPr>
              <w:t>10</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5</w:t>
            </w:r>
            <w:r>
              <w:rPr>
                <w:rFonts w:hint="eastAsia" w:ascii="黑体" w:hAnsi="黑体" w:eastAsia="黑体"/>
                <w:bCs/>
                <w:color w:val="auto"/>
                <w:sz w:val="24"/>
              </w:rPr>
              <w:t xml:space="preserve">  与Ⅳ五台山坳陷盆地水土保持生态功能区的符合性分析一览表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395"/>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序号</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Ⅳ五台山坳陷盆地水土保持生态功能区保护措施和发展方向</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1</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城区要确保一定比例的公共绿地和生态用地，加强县城公园、绿化带、片林、草坪的建设与保护，大力推广庭院绿化和美化。</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本项目位于</w:t>
                  </w:r>
                  <w:r>
                    <w:rPr>
                      <w:rFonts w:hint="eastAsia"/>
                      <w:bCs/>
                      <w:color w:val="auto"/>
                      <w:szCs w:val="21"/>
                    </w:rPr>
                    <w:t>五台县中心城区边界、建成区边界</w:t>
                  </w:r>
                  <w:r>
                    <w:rPr>
                      <w:rFonts w:hint="eastAsia"/>
                      <w:bCs/>
                      <w:color w:val="auto"/>
                      <w:szCs w:val="21"/>
                      <w:lang w:val="en-US" w:eastAsia="zh-CN"/>
                    </w:rPr>
                    <w:t>南</w:t>
                  </w:r>
                  <w:r>
                    <w:rPr>
                      <w:rFonts w:hint="eastAsia"/>
                      <w:bCs/>
                      <w:color w:val="auto"/>
                      <w:szCs w:val="21"/>
                    </w:rPr>
                    <w:t>侧约</w:t>
                  </w:r>
                  <w:r>
                    <w:rPr>
                      <w:rFonts w:hint="eastAsia"/>
                      <w:bCs/>
                      <w:color w:val="auto"/>
                      <w:szCs w:val="21"/>
                      <w:lang w:val="en-US" w:eastAsia="zh-CN"/>
                    </w:rPr>
                    <w:t>5.3</w:t>
                  </w:r>
                  <w:r>
                    <w:rPr>
                      <w:rFonts w:hint="eastAsia"/>
                      <w:bCs/>
                      <w:color w:val="auto"/>
                      <w:szCs w:val="21"/>
                    </w:rPr>
                    <w:t>km处，项目绿化面积</w:t>
                  </w:r>
                  <w:r>
                    <w:rPr>
                      <w:rFonts w:hint="eastAsia"/>
                      <w:bCs/>
                      <w:color w:val="auto"/>
                      <w:szCs w:val="21"/>
                      <w:lang w:val="en-US" w:eastAsia="zh-CN"/>
                    </w:rPr>
                    <w:t>8093.05</w:t>
                  </w:r>
                  <w:r>
                    <w:rPr>
                      <w:rFonts w:hint="eastAsia"/>
                      <w:bCs/>
                      <w:color w:val="auto"/>
                      <w:szCs w:val="21"/>
                    </w:rPr>
                    <w:t>m</w:t>
                  </w:r>
                  <w:r>
                    <w:rPr>
                      <w:rFonts w:hint="eastAsia"/>
                      <w:bCs/>
                      <w:color w:val="auto"/>
                      <w:szCs w:val="21"/>
                      <w:vertAlign w:val="superscript"/>
                    </w:rPr>
                    <w:t>2</w:t>
                  </w:r>
                  <w:r>
                    <w:rPr>
                      <w:rFonts w:hint="eastAsia"/>
                      <w:bCs/>
                      <w:color w:val="auto"/>
                      <w:szCs w:val="21"/>
                    </w:rPr>
                    <w:t>，绿化率3</w:t>
                  </w:r>
                  <w:r>
                    <w:rPr>
                      <w:rFonts w:hint="eastAsia"/>
                      <w:bCs/>
                      <w:color w:val="auto"/>
                      <w:szCs w:val="21"/>
                      <w:lang w:val="en-US" w:eastAsia="zh-CN"/>
                    </w:rPr>
                    <w:t>5</w:t>
                  </w:r>
                  <w:r>
                    <w:rPr>
                      <w:rFonts w:hint="eastAsia"/>
                      <w:bCs/>
                      <w:color w:val="auto"/>
                      <w:szCs w:val="21"/>
                    </w:rPr>
                    <w:t>%，不违背城区公共绿地和生态用地要求。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2</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加大对城区环保基础设施建设的投入，集中财力物力，尽快完成集中供气供热工程并发挥效益，改善城区大气环境质量。</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本项目无法接入集中供热，项目采暖期供热采用空气源热泵，</w:t>
                  </w:r>
                  <w:r>
                    <w:rPr>
                      <w:rFonts w:hint="eastAsia"/>
                      <w:color w:val="auto"/>
                      <w:szCs w:val="21"/>
                      <w:lang w:val="en-US" w:eastAsia="zh-CN"/>
                    </w:rPr>
                    <w:t>无采暖废气产生，不会</w:t>
                  </w:r>
                  <w:r>
                    <w:rPr>
                      <w:rFonts w:hint="eastAsia"/>
                      <w:color w:val="auto"/>
                      <w:szCs w:val="21"/>
                    </w:rPr>
                    <w:t>对区域大气环境质量</w:t>
                  </w:r>
                  <w:r>
                    <w:rPr>
                      <w:rFonts w:hint="eastAsia"/>
                      <w:color w:val="auto"/>
                      <w:szCs w:val="21"/>
                      <w:lang w:val="en-US" w:eastAsia="zh-CN"/>
                    </w:rPr>
                    <w:t>产生</w:t>
                  </w:r>
                  <w:r>
                    <w:rPr>
                      <w:rFonts w:hint="eastAsia"/>
                      <w:color w:val="auto"/>
                      <w:szCs w:val="21"/>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3</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加快区内排污管网和垃圾无害化处置场建设，为污水处理厂正常运行和垃圾有序堆存提供条件。</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bCs/>
                      <w:color w:val="auto"/>
                    </w:rPr>
                    <w:t>本项目产生的废水经污水处理站处理后夏季可用于道路浇洒及绿化浇灌，冬季定期由罐车统一抽送至五台县生活污水处理厂。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4</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依据水源地环境保护规划及保护区划分登记对水源地进行严格保护。</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距离本项目最近的乡镇集中式水源地为项目西侧约</w:t>
                  </w:r>
                  <w:r>
                    <w:rPr>
                      <w:rFonts w:hint="eastAsia"/>
                      <w:color w:val="auto"/>
                      <w:szCs w:val="21"/>
                      <w:lang w:val="en-US" w:eastAsia="zh-CN"/>
                    </w:rPr>
                    <w:t>8.4</w:t>
                  </w:r>
                  <w:r>
                    <w:rPr>
                      <w:rFonts w:hint="eastAsia"/>
                      <w:color w:val="auto"/>
                      <w:szCs w:val="21"/>
                    </w:rPr>
                    <w:t>km处的东冶镇集中供水水源地，其一级保护区半径1</w:t>
                  </w:r>
                  <w:r>
                    <w:rPr>
                      <w:rFonts w:hint="eastAsia"/>
                      <w:color w:val="auto"/>
                      <w:szCs w:val="21"/>
                      <w:lang w:val="en-US" w:eastAsia="zh-CN"/>
                    </w:rPr>
                    <w:t>00</w:t>
                  </w:r>
                  <w:r>
                    <w:rPr>
                      <w:rFonts w:hint="eastAsia"/>
                      <w:color w:val="auto"/>
                      <w:szCs w:val="21"/>
                    </w:rPr>
                    <w:t>m</w:t>
                  </w:r>
                  <w:r>
                    <w:rPr>
                      <w:rFonts w:hint="eastAsia"/>
                      <w:color w:val="auto"/>
                      <w:szCs w:val="21"/>
                      <w:lang w:val="en-US" w:eastAsia="zh-CN"/>
                    </w:rPr>
                    <w:t>~150m</w:t>
                  </w:r>
                  <w:r>
                    <w:rPr>
                      <w:rFonts w:hint="eastAsia"/>
                      <w:color w:val="auto"/>
                      <w:szCs w:val="21"/>
                    </w:rPr>
                    <w:t>，本项目不在其保护区范围内，运营期对该水源地影响较小。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5</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对于水土流失相对较重的区域，实施小流域治理和植树造林等生态恢复工程，加强植草、植树护岸林带建设注重效果，对已完成的工程要加大管护力度。</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s="宋体"/>
                      <w:color w:val="auto"/>
                      <w:kern w:val="0"/>
                      <w:szCs w:val="21"/>
                    </w:rPr>
                    <w:t>项目场地内通过硬化和绿化措施，可有效减少水土流失，其中绿化率3</w:t>
                  </w:r>
                  <w:r>
                    <w:rPr>
                      <w:rFonts w:hint="eastAsia" w:cs="宋体"/>
                      <w:color w:val="auto"/>
                      <w:kern w:val="0"/>
                      <w:szCs w:val="21"/>
                      <w:lang w:val="en-US" w:eastAsia="zh-CN"/>
                    </w:rPr>
                    <w:t>5</w:t>
                  </w:r>
                  <w:r>
                    <w:rPr>
                      <w:rFonts w:hint="eastAsia" w:cs="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6</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河岸两侧的耕地尽快实施测土配方施肥、施药工程，合理的使用化肥和农药。</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7</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科学实施种植养殖业，推动沼气与太阳能清洁能源的建设工程，并将其作为新农村建设的基础性工作，为解决农村环境污染和实现农村经济高效增长创造条件。</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r>
                    <w:rPr>
                      <w:rFonts w:hint="eastAsia"/>
                      <w:color w:val="auto"/>
                      <w:szCs w:val="21"/>
                    </w:rPr>
                    <w:t>本项目不属于种植养殖业；本项目的实施可</w:t>
                  </w:r>
                  <w:r>
                    <w:rPr>
                      <w:rFonts w:hint="eastAsia" w:cs="宋体"/>
                      <w:color w:val="auto"/>
                      <w:kern w:val="0"/>
                      <w:szCs w:val="21"/>
                    </w:rPr>
                    <w:t>减少区域土葬对土地的占用。</w:t>
                  </w:r>
                </w:p>
              </w:tc>
            </w:tr>
          </w:tbl>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sz w:val="24"/>
              </w:rPr>
              <w:t>综上所述，本项目</w:t>
            </w:r>
            <w:r>
              <w:rPr>
                <w:rFonts w:hint="eastAsia"/>
                <w:bCs/>
                <w:color w:val="auto"/>
                <w:sz w:val="24"/>
              </w:rPr>
              <w:t>不违背</w:t>
            </w:r>
            <w:r>
              <w:rPr>
                <w:rFonts w:hint="eastAsia"/>
                <w:color w:val="auto"/>
                <w:kern w:val="0"/>
                <w:sz w:val="24"/>
              </w:rPr>
              <w:t>Ⅳ五台山坳陷盆地水土保持生态功能区的保护措施和发展方向要求。</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bCs/>
                <w:color w:val="auto"/>
                <w:sz w:val="24"/>
                <w:lang w:val="en-US" w:eastAsia="zh-CN"/>
              </w:rPr>
              <w:t>6</w:t>
            </w:r>
            <w:r>
              <w:rPr>
                <w:rFonts w:hint="eastAsia"/>
                <w:b/>
                <w:bCs/>
                <w:color w:val="auto"/>
                <w:sz w:val="24"/>
              </w:rPr>
              <w:t>、</w:t>
            </w:r>
            <w:r>
              <w:rPr>
                <w:rFonts w:hint="eastAsia" w:ascii="宋体" w:hAnsi="宋体" w:cs="宋体"/>
                <w:b/>
                <w:bCs/>
                <w:color w:val="auto"/>
                <w:kern w:val="0"/>
                <w:sz w:val="24"/>
              </w:rPr>
              <w:t>五台县生态</w:t>
            </w:r>
            <w:r>
              <w:rPr>
                <w:rFonts w:hint="eastAsia" w:ascii="宋体" w:hAnsi="宋体" w:cs="宋体"/>
                <w:b/>
                <w:bCs/>
                <w:color w:val="auto"/>
                <w:kern w:val="0"/>
                <w:sz w:val="24"/>
                <w:lang w:val="en-US" w:eastAsia="zh-CN"/>
              </w:rPr>
              <w:t>经济</w:t>
            </w:r>
            <w:r>
              <w:rPr>
                <w:rFonts w:hint="eastAsia" w:ascii="宋体" w:hAnsi="宋体" w:cs="宋体"/>
                <w:b/>
                <w:bCs/>
                <w:color w:val="auto"/>
                <w:kern w:val="0"/>
                <w:sz w:val="24"/>
              </w:rPr>
              <w:t>区划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vertAlign w:val="baseline"/>
                <w:lang w:val="en-US" w:eastAsia="zh-CN"/>
              </w:rPr>
            </w:pPr>
            <w:r>
              <w:rPr>
                <w:rFonts w:hint="eastAsia"/>
                <w:color w:val="auto"/>
                <w:kern w:val="0"/>
                <w:sz w:val="24"/>
              </w:rPr>
              <w:t>根据《五台县生态</w:t>
            </w:r>
            <w:r>
              <w:rPr>
                <w:rFonts w:hint="eastAsia"/>
                <w:color w:val="auto"/>
                <w:kern w:val="0"/>
                <w:sz w:val="24"/>
                <w:lang w:val="en-US" w:eastAsia="zh-CN"/>
              </w:rPr>
              <w:t>经济</w:t>
            </w:r>
            <w:r>
              <w:rPr>
                <w:rFonts w:hint="eastAsia"/>
                <w:color w:val="auto"/>
                <w:kern w:val="0"/>
                <w:sz w:val="24"/>
              </w:rPr>
              <w:t>区划》，项目区位于Ⅳ</w:t>
            </w:r>
            <w:r>
              <w:rPr>
                <w:rFonts w:hint="eastAsia"/>
                <w:color w:val="auto"/>
                <w:kern w:val="0"/>
                <w:sz w:val="24"/>
                <w:vertAlign w:val="subscript"/>
                <w:lang w:val="en-US" w:eastAsia="zh-CN"/>
              </w:rPr>
              <w:t>1</w:t>
            </w:r>
            <w:r>
              <w:rPr>
                <w:rFonts w:hint="eastAsia"/>
                <w:color w:val="auto"/>
                <w:kern w:val="0"/>
                <w:sz w:val="24"/>
              </w:rPr>
              <w:t>五台</w:t>
            </w:r>
            <w:r>
              <w:rPr>
                <w:rFonts w:hint="eastAsia"/>
                <w:color w:val="auto"/>
                <w:kern w:val="0"/>
                <w:sz w:val="24"/>
                <w:lang w:val="en-US" w:eastAsia="zh-CN"/>
              </w:rPr>
              <w:t>县城镇商贸与工业综合经济区；该区位于五台县台城镇及沟南、东冶中部地区及北部地区，面积约247km</w:t>
            </w:r>
            <w:r>
              <w:rPr>
                <w:rFonts w:hint="eastAsia"/>
                <w:color w:val="auto"/>
                <w:kern w:val="0"/>
                <w:sz w:val="24"/>
                <w:vertAlign w:val="superscript"/>
                <w:lang w:val="en-US" w:eastAsia="zh-CN"/>
              </w:rPr>
              <w:t>2</w:t>
            </w:r>
            <w:r>
              <w:rPr>
                <w:rFonts w:hint="eastAsia"/>
                <w:color w:val="auto"/>
                <w:kern w:val="0"/>
                <w:sz w:val="24"/>
                <w:vertAlign w:val="baseline"/>
                <w:lang w:val="en-US" w:eastAsia="zh-CN"/>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本项目与Ⅳ</w:t>
            </w:r>
            <w:r>
              <w:rPr>
                <w:rFonts w:hint="eastAsia"/>
                <w:color w:val="auto"/>
                <w:sz w:val="24"/>
                <w:vertAlign w:val="subscript"/>
                <w:lang w:val="en-US" w:eastAsia="zh-CN"/>
              </w:rPr>
              <w:t>1</w:t>
            </w:r>
            <w:r>
              <w:rPr>
                <w:rFonts w:hint="eastAsia"/>
                <w:color w:val="auto"/>
                <w:sz w:val="24"/>
              </w:rPr>
              <w:t>五台</w:t>
            </w:r>
            <w:r>
              <w:rPr>
                <w:rFonts w:hint="eastAsia"/>
                <w:color w:val="auto"/>
                <w:sz w:val="24"/>
                <w:lang w:val="en-US" w:eastAsia="zh-CN"/>
              </w:rPr>
              <w:t>县城镇商贸与工业综合经济区</w:t>
            </w:r>
            <w:r>
              <w:rPr>
                <w:rFonts w:hint="eastAsia"/>
                <w:color w:val="auto"/>
                <w:kern w:val="0"/>
                <w:sz w:val="24"/>
              </w:rPr>
              <w:t>的</w:t>
            </w:r>
            <w:r>
              <w:rPr>
                <w:rFonts w:hint="eastAsia"/>
                <w:color w:val="auto"/>
                <w:kern w:val="0"/>
                <w:sz w:val="24"/>
                <w:lang w:val="en-US" w:eastAsia="zh-CN"/>
              </w:rPr>
              <w:t>发展方向和生态环境保护要求的</w:t>
            </w:r>
            <w:r>
              <w:rPr>
                <w:rFonts w:hint="eastAsia"/>
                <w:color w:val="auto"/>
                <w:kern w:val="0"/>
                <w:sz w:val="24"/>
              </w:rPr>
              <w:t>符合性分析见下表。本项目与五台县生态</w:t>
            </w:r>
            <w:r>
              <w:rPr>
                <w:rFonts w:hint="eastAsia"/>
                <w:color w:val="auto"/>
                <w:kern w:val="0"/>
                <w:sz w:val="24"/>
                <w:lang w:val="en-US" w:eastAsia="zh-CN"/>
              </w:rPr>
              <w:t>经济</w:t>
            </w:r>
            <w:r>
              <w:rPr>
                <w:rFonts w:hint="eastAsia"/>
                <w:color w:val="auto"/>
                <w:kern w:val="0"/>
                <w:sz w:val="24"/>
              </w:rPr>
              <w:t>区划相对位置见附图</w:t>
            </w:r>
            <w:r>
              <w:rPr>
                <w:rFonts w:hint="eastAsia"/>
                <w:color w:val="auto"/>
                <w:kern w:val="0"/>
                <w:sz w:val="24"/>
                <w:lang w:val="en-US" w:eastAsia="zh-CN"/>
              </w:rPr>
              <w:t>11</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s="宋体"/>
                <w:bCs/>
                <w:color w:val="auto"/>
                <w:kern w:val="0"/>
                <w:sz w:val="32"/>
                <w:szCs w:val="32"/>
              </w:rPr>
            </w:pPr>
            <w:r>
              <w:rPr>
                <w:rFonts w:hint="eastAsia" w:ascii="黑体" w:hAnsi="黑体" w:eastAsia="黑体"/>
                <w:bCs/>
                <w:color w:val="auto"/>
                <w:sz w:val="24"/>
              </w:rPr>
              <w:t>表1-</w:t>
            </w:r>
            <w:r>
              <w:rPr>
                <w:rFonts w:hint="eastAsia" w:ascii="黑体" w:hAnsi="黑体" w:eastAsia="黑体"/>
                <w:bCs/>
                <w:color w:val="auto"/>
                <w:sz w:val="24"/>
                <w:lang w:val="en-US" w:eastAsia="zh-CN"/>
              </w:rPr>
              <w:t>6</w:t>
            </w:r>
            <w:r>
              <w:rPr>
                <w:rFonts w:hint="eastAsia" w:ascii="黑体" w:hAnsi="黑体" w:eastAsia="黑体"/>
                <w:bCs/>
                <w:color w:val="auto"/>
                <w:sz w:val="24"/>
              </w:rPr>
              <w:t xml:space="preserve">  与Ⅳ</w:t>
            </w:r>
            <w:r>
              <w:rPr>
                <w:rFonts w:hint="eastAsia" w:ascii="黑体" w:hAnsi="黑体" w:eastAsia="黑体"/>
                <w:bCs/>
                <w:color w:val="auto"/>
                <w:sz w:val="24"/>
                <w:vertAlign w:val="subscript"/>
                <w:lang w:val="en-US" w:eastAsia="zh-CN"/>
              </w:rPr>
              <w:t>1</w:t>
            </w:r>
            <w:r>
              <w:rPr>
                <w:rFonts w:hint="eastAsia" w:ascii="黑体" w:hAnsi="黑体" w:eastAsia="黑体"/>
                <w:bCs/>
                <w:color w:val="auto"/>
                <w:sz w:val="24"/>
              </w:rPr>
              <w:t>五台</w:t>
            </w:r>
            <w:r>
              <w:rPr>
                <w:rFonts w:hint="eastAsia" w:ascii="黑体" w:hAnsi="黑体" w:eastAsia="黑体"/>
                <w:bCs/>
                <w:color w:val="auto"/>
                <w:sz w:val="24"/>
                <w:lang w:val="en-US" w:eastAsia="zh-CN"/>
              </w:rPr>
              <w:t>县城镇商贸与工业综合经济区</w:t>
            </w:r>
            <w:r>
              <w:rPr>
                <w:rFonts w:hint="eastAsia" w:ascii="黑体" w:hAnsi="黑体" w:eastAsia="黑体"/>
                <w:bCs/>
                <w:color w:val="auto"/>
                <w:sz w:val="24"/>
              </w:rPr>
              <w:t>的符合性分析一览表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395"/>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序号</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Ⅳ</w:t>
                  </w:r>
                  <w:r>
                    <w:rPr>
                      <w:rFonts w:hint="eastAsia"/>
                      <w:color w:val="auto"/>
                      <w:szCs w:val="21"/>
                      <w:lang w:val="en-US" w:eastAsia="zh-CN"/>
                    </w:rPr>
                    <w:t>1</w:t>
                  </w:r>
                  <w:r>
                    <w:rPr>
                      <w:rFonts w:hint="eastAsia"/>
                      <w:color w:val="auto"/>
                      <w:szCs w:val="21"/>
                    </w:rPr>
                    <w:t>五台</w:t>
                  </w:r>
                  <w:r>
                    <w:rPr>
                      <w:rFonts w:hint="eastAsia"/>
                      <w:color w:val="auto"/>
                      <w:szCs w:val="21"/>
                      <w:lang w:val="en-US" w:eastAsia="zh-CN"/>
                    </w:rPr>
                    <w:t>县城镇商贸与工业综合经济区</w:t>
                  </w:r>
                  <w:r>
                    <w:rPr>
                      <w:rFonts w:hint="eastAsia"/>
                      <w:color w:val="auto"/>
                      <w:szCs w:val="21"/>
                    </w:rPr>
                    <w:t>的</w:t>
                  </w:r>
                  <w:r>
                    <w:rPr>
                      <w:rFonts w:hint="eastAsia"/>
                      <w:color w:val="auto"/>
                      <w:szCs w:val="21"/>
                      <w:lang w:val="en-US" w:eastAsia="zh-CN"/>
                    </w:rPr>
                    <w:t>发展方向和生态环境保护要求</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发展方向</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限制：限制任何有污染隐患的工业项目在该区建设。</w:t>
                  </w:r>
                </w:p>
              </w:tc>
              <w:tc>
                <w:tcPr>
                  <w:tcW w:w="2124"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lang w:val="en-US" w:eastAsia="zh-CN"/>
                    </w:rPr>
                    <w:t>本项目为殡仪馆建设项目，属于8080殡葬服务业；</w:t>
                  </w:r>
                  <w:r>
                    <w:rPr>
                      <w:rFonts w:hint="eastAsia" w:cs="宋体"/>
                      <w:color w:val="auto"/>
                      <w:kern w:val="0"/>
                      <w:szCs w:val="21"/>
                    </w:rPr>
                    <w:t>项目的建设对区域建立布局合理、功能完善、生态文明的殡葬服务体系，实现殡葬公共服务覆盖全体城乡居民，实现殡葬习俗文明化和殡葬设施现代化具有重要意义；可减少土葬对土地的占用。</w:t>
                  </w:r>
                </w:p>
                <w:p>
                  <w:pPr>
                    <w:keepNext w:val="0"/>
                    <w:keepLines w:val="0"/>
                    <w:suppressLineNumbers w:val="0"/>
                    <w:autoSpaceDE w:val="0"/>
                    <w:autoSpaceDN w:val="0"/>
                    <w:adjustRightInd w:val="0"/>
                    <w:snapToGrid w:val="0"/>
                    <w:spacing w:before="0" w:beforeAutospacing="0" w:after="0" w:afterAutospacing="0"/>
                    <w:ind w:left="0" w:right="0"/>
                    <w:rPr>
                      <w:rFonts w:hint="default" w:eastAsia="宋体" w:cs="宋体"/>
                      <w:color w:val="auto"/>
                      <w:kern w:val="0"/>
                      <w:szCs w:val="21"/>
                      <w:lang w:val="en-US" w:eastAsia="zh-CN"/>
                    </w:rPr>
                  </w:pPr>
                  <w:r>
                    <w:rPr>
                      <w:rFonts w:hint="eastAsia" w:cs="宋体"/>
                      <w:color w:val="auto"/>
                      <w:kern w:val="0"/>
                      <w:szCs w:val="21"/>
                      <w:lang w:val="en-US" w:eastAsia="zh-CN"/>
                    </w:rPr>
                    <w:t>因此，本项目不属于该区域限制发展的工业项目。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鼓励：①鼓励发展商业、文化、旅游服务为主导的第三产业，建成生态环境优美的城镇；②鼓励发展高新技术及无污染的各类加工工业；③发展以小杂粮和蔬菜种植与加工为主导的生态农业经济。</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生态环境保护要求</w:t>
                  </w: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①城镇周边的农村发展沼气、太阳能等清洁能源产业，为绿色农业经济提供肥源；</w:t>
                  </w:r>
                </w:p>
              </w:tc>
              <w:tc>
                <w:tcPr>
                  <w:tcW w:w="2124"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eastAsia="宋体"/>
                      <w:color w:val="auto"/>
                      <w:szCs w:val="21"/>
                      <w:lang w:val="en-US" w:eastAsia="zh-CN"/>
                    </w:rPr>
                    <w:t>本项目占用的土地资源较少，项目建成后可减少区域内土葬对土地的占用</w:t>
                  </w:r>
                  <w:r>
                    <w:rPr>
                      <w:rFonts w:hint="eastAsia"/>
                      <w:color w:val="auto"/>
                      <w:szCs w:val="21"/>
                      <w:lang w:val="en-US" w:eastAsia="zh-CN"/>
                    </w:rPr>
                    <w:t>，对农业生产具有正影响。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②城区要依据城镇规划实施改造，逐步完善城区供气、供热、污水、生活垃圾收集与处理和加强公园、绿化带、片林、草坪等方面的基础设施建设，改善城区环境质量；</w:t>
                  </w:r>
                </w:p>
              </w:tc>
              <w:tc>
                <w:tcPr>
                  <w:tcW w:w="2124"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本项目距五台县中心城区边界及建成区边界约</w:t>
                  </w:r>
                  <w:r>
                    <w:rPr>
                      <w:rFonts w:hint="eastAsia" w:cs="宋体"/>
                      <w:color w:val="auto"/>
                      <w:kern w:val="0"/>
                      <w:szCs w:val="21"/>
                      <w:lang w:val="en-US" w:eastAsia="zh-CN"/>
                    </w:rPr>
                    <w:t>5.3</w:t>
                  </w:r>
                  <w:r>
                    <w:rPr>
                      <w:rFonts w:hint="eastAsia" w:cs="宋体"/>
                      <w:color w:val="auto"/>
                      <w:kern w:val="0"/>
                      <w:szCs w:val="21"/>
                    </w:rPr>
                    <w:t>km，不在城市建成区范围内</w:t>
                  </w:r>
                  <w:r>
                    <w:rPr>
                      <w:rFonts w:hint="eastAsia" w:cs="宋体"/>
                      <w:color w:val="auto"/>
                      <w:kern w:val="0"/>
                      <w:szCs w:val="21"/>
                      <w:lang w:eastAsia="zh-CN"/>
                    </w:rPr>
                    <w:t>；本项目为殡仪馆建设项目，对区域建立布局合理、功能完善、生态文明的殡葬服务体系，实现殡葬公共服务覆盖全体城乡居民，实现殡葬习俗文明化和殡葬设施现代化具有重要意义</w:t>
                  </w:r>
                  <w:r>
                    <w:rPr>
                      <w:rFonts w:hint="eastAsia" w:cs="宋体"/>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rPr>
                      <w:rFonts w:hint="eastAsia" w:cs="宋体"/>
                      <w:color w:val="auto"/>
                      <w:kern w:val="0"/>
                      <w:szCs w:val="21"/>
                    </w:rPr>
                  </w:pPr>
                  <w:r>
                    <w:rPr>
                      <w:rFonts w:hint="eastAsia" w:cs="宋体"/>
                      <w:color w:val="auto"/>
                      <w:kern w:val="0"/>
                      <w:szCs w:val="21"/>
                    </w:rPr>
                    <w:t>本项目使用的火化设备为符合国家环境保护标准的火化炉，</w:t>
                  </w:r>
                  <w:r>
                    <w:rPr>
                      <w:rFonts w:hint="eastAsia" w:cs="宋体"/>
                      <w:color w:val="auto"/>
                      <w:kern w:val="0"/>
                      <w:szCs w:val="21"/>
                      <w:lang w:val="en-US" w:eastAsia="zh-CN"/>
                    </w:rPr>
                    <w:t>辅助燃料为轻质柴油，</w:t>
                  </w:r>
                  <w:r>
                    <w:rPr>
                      <w:rFonts w:hint="eastAsia" w:cs="宋体"/>
                      <w:color w:val="auto"/>
                      <w:kern w:val="0"/>
                      <w:szCs w:val="21"/>
                    </w:rPr>
                    <w:t>使用“3T</w:t>
                  </w:r>
                  <w:r>
                    <w:rPr>
                      <w:rFonts w:hint="eastAsia" w:cs="宋体"/>
                      <w:color w:val="auto"/>
                      <w:kern w:val="0"/>
                      <w:szCs w:val="21"/>
                      <w:lang w:val="en-US" w:eastAsia="zh-CN"/>
                    </w:rPr>
                    <w:t>+E</w:t>
                  </w:r>
                  <w:r>
                    <w:rPr>
                      <w:rFonts w:hint="eastAsia" w:cs="宋体"/>
                      <w:color w:val="auto"/>
                      <w:kern w:val="0"/>
                      <w:szCs w:val="21"/>
                    </w:rPr>
                    <w:t>”控制技术</w:t>
                  </w:r>
                  <w:r>
                    <w:rPr>
                      <w:rFonts w:hint="eastAsia" w:cs="宋体"/>
                      <w:color w:val="auto"/>
                      <w:kern w:val="0"/>
                      <w:szCs w:val="21"/>
                      <w:lang w:val="en-US" w:eastAsia="zh-CN"/>
                    </w:rPr>
                    <w:t>以及烟气末端治理技术</w:t>
                  </w:r>
                  <w:r>
                    <w:rPr>
                      <w:rFonts w:hint="eastAsia" w:cs="宋体"/>
                      <w:color w:val="auto"/>
                      <w:kern w:val="0"/>
                      <w:szCs w:val="21"/>
                    </w:rPr>
                    <w:t>，可有效减少火化过程中污染物的排放。</w:t>
                  </w:r>
                </w:p>
                <w:p>
                  <w:pPr>
                    <w:keepNext w:val="0"/>
                    <w:keepLines w:val="0"/>
                    <w:suppressLineNumbers w:val="0"/>
                    <w:autoSpaceDE w:val="0"/>
                    <w:autoSpaceDN w:val="0"/>
                    <w:adjustRightInd w:val="0"/>
                    <w:snapToGrid w:val="0"/>
                    <w:spacing w:before="0" w:beforeAutospacing="0" w:after="0" w:afterAutospacing="0"/>
                    <w:ind w:left="0" w:right="0"/>
                    <w:rPr>
                      <w:rFonts w:hint="eastAsia" w:eastAsia="宋体"/>
                      <w:color w:val="auto"/>
                      <w:szCs w:val="21"/>
                      <w:lang w:val="en-US" w:eastAsia="zh-CN"/>
                    </w:rPr>
                  </w:pPr>
                  <w:r>
                    <w:rPr>
                      <w:rFonts w:hint="eastAsia"/>
                      <w:bCs/>
                      <w:color w:val="auto"/>
                    </w:rPr>
                    <w:t>本项目产生的废水经污水处理站处理后夏季可用于道路浇洒及绿化浇灌，冬季定期由罐车统一抽送至五台县生活污水处理厂。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③对现有污染工业进行综合整治和生态恢复，实施产业布局与产业结构的双重调整，缓解该区工业经济对环境和居民生活影响的压力；</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④该区域大气环境容量已经超载，必须按国家产业政策对现有的采矿选矿企业实施全面整顿，关停违反国家矿业开发有关法规的企业；</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⑤经济发展的着力点必须放在引进技术含量高，经济效益好，消耗资源与环境容量少的高新产业；</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⑥该区域人口密集，引导超载人口逐步有序向城镇周边的农村转移；</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szCs w:val="21"/>
                    </w:rPr>
                  </w:pPr>
                </w:p>
              </w:tc>
              <w:tc>
                <w:tcPr>
                  <w:tcW w:w="262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⑦规范城镇空间开发格局，坚持保护优先，适度发展机械、电子和无污染的加工产业。</w:t>
                  </w:r>
                </w:p>
              </w:tc>
              <w:tc>
                <w:tcPr>
                  <w:tcW w:w="2124"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szCs w:val="21"/>
                    </w:rPr>
                  </w:pPr>
                </w:p>
              </w:tc>
            </w:tr>
          </w:tbl>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sz w:val="24"/>
              </w:rPr>
              <w:t>综上所述，本项目</w:t>
            </w:r>
            <w:r>
              <w:rPr>
                <w:rFonts w:hint="eastAsia"/>
                <w:bCs/>
                <w:color w:val="auto"/>
                <w:sz w:val="24"/>
              </w:rPr>
              <w:t>不违背Ⅳ</w:t>
            </w:r>
            <w:r>
              <w:rPr>
                <w:rFonts w:hint="eastAsia"/>
                <w:bCs/>
                <w:color w:val="auto"/>
                <w:sz w:val="24"/>
                <w:vertAlign w:val="subscript"/>
                <w:lang w:val="en-US" w:eastAsia="zh-CN"/>
              </w:rPr>
              <w:t>1</w:t>
            </w:r>
            <w:r>
              <w:rPr>
                <w:rFonts w:hint="eastAsia"/>
                <w:bCs/>
                <w:color w:val="auto"/>
                <w:sz w:val="24"/>
              </w:rPr>
              <w:t>五台</w:t>
            </w:r>
            <w:r>
              <w:rPr>
                <w:rFonts w:hint="eastAsia"/>
                <w:bCs/>
                <w:color w:val="auto"/>
                <w:sz w:val="24"/>
                <w:lang w:val="en-US" w:eastAsia="zh-CN"/>
              </w:rPr>
              <w:t>县城镇商贸与工业综合经济区</w:t>
            </w:r>
            <w:r>
              <w:rPr>
                <w:rFonts w:hint="eastAsia"/>
                <w:bCs/>
                <w:color w:val="auto"/>
                <w:sz w:val="24"/>
              </w:rPr>
              <w:t>的</w:t>
            </w:r>
            <w:r>
              <w:rPr>
                <w:rFonts w:hint="eastAsia"/>
                <w:bCs/>
                <w:color w:val="auto"/>
                <w:sz w:val="24"/>
                <w:lang w:val="en-US" w:eastAsia="zh-CN"/>
              </w:rPr>
              <w:t>发展方向和生态环境保护要求</w:t>
            </w:r>
            <w:r>
              <w:rPr>
                <w:rFonts w:hint="eastAsia"/>
                <w:color w:val="auto"/>
                <w:kern w:val="0"/>
                <w:sz w:val="24"/>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lang w:val="en-US" w:eastAsia="zh-CN"/>
              </w:rPr>
              <w:t>6</w:t>
            </w:r>
            <w:r>
              <w:rPr>
                <w:rFonts w:hint="eastAsia"/>
                <w:b/>
                <w:bCs/>
                <w:color w:val="auto"/>
                <w:kern w:val="0"/>
                <w:sz w:val="24"/>
              </w:rPr>
              <w:t>、与《山西省殡葬基础设施建设指南》符合性分析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color w:val="auto"/>
                <w:kern w:val="0"/>
                <w:sz w:val="24"/>
              </w:rPr>
              <w:t>山西省民政厅、山西省发展和改革委员会、山西省工业和信息化厅、山西省自然资源厅、山西省林业和草原局、山西省住房和城乡建设厅、山西省交通运输厅、山西省生态环境厅于2020年11月13日以晋民发[2020]60号文发布了“关于印发《山西省殡葬基础设施建设指南》的通知”以加快推进殡葬改革促进殡葬事业发展，加快殡葬基础设施建设。</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color w:val="auto"/>
                <w:kern w:val="0"/>
                <w:sz w:val="24"/>
              </w:rPr>
              <w:t>根据《山西省殡葬基础设施建设指南-山西省殡仪馆建设指南》中项目选址、规划布局、建设规模、专用设备等方面的要求，</w:t>
            </w:r>
            <w:r>
              <w:rPr>
                <w:rFonts w:hint="eastAsia"/>
                <w:bCs/>
                <w:color w:val="auto"/>
                <w:sz w:val="24"/>
              </w:rPr>
              <w:t>五台县殡仪馆项目与该指南的符合型分析见下表。</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eastAsia" w:ascii="黑体" w:hAnsi="黑体" w:eastAsia="黑体"/>
                <w:color w:val="auto"/>
                <w:kern w:val="0"/>
                <w:sz w:val="24"/>
              </w:rPr>
            </w:pPr>
            <w:r>
              <w:rPr>
                <w:rFonts w:hint="eastAsia" w:ascii="黑体" w:hAnsi="黑体" w:eastAsia="黑体"/>
                <w:color w:val="auto"/>
                <w:kern w:val="0"/>
                <w:sz w:val="24"/>
              </w:rPr>
              <w:t>表1-</w:t>
            </w:r>
            <w:r>
              <w:rPr>
                <w:rFonts w:hint="eastAsia" w:ascii="黑体" w:hAnsi="黑体" w:eastAsia="黑体"/>
                <w:color w:val="auto"/>
                <w:kern w:val="0"/>
                <w:sz w:val="24"/>
                <w:lang w:val="en-US" w:eastAsia="zh-CN"/>
              </w:rPr>
              <w:t>7</w:t>
            </w:r>
            <w:r>
              <w:rPr>
                <w:rFonts w:hint="eastAsia" w:ascii="黑体" w:hAnsi="黑体" w:eastAsia="黑体"/>
                <w:color w:val="auto"/>
                <w:kern w:val="0"/>
                <w:sz w:val="24"/>
              </w:rPr>
              <w:t xml:space="preserve">  五台县殡仪馆与《山西省殡葬基础设施建设指南》符合性分析表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2953"/>
              <w:gridCol w:w="412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5" w:type="pct"/>
                  <w:gridSpan w:val="2"/>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《山西省殡葬基础设施建设指南》</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五台县殡仪馆建设内容</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项目选址</w:t>
                  </w: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殡仪馆选址应符合城乡规划和土地利用总体规划（国土空间规划），不得占用永久基本农田，避开“三沿六区”以及各类自然保护地，应建在当地常年主导风向的下风侧，应有利于排水和空气扩散，尽量选择周边单位和居民较少、相对独立、交通便利的地域，并处理好与周边单位及居民的关系，符合《火葬场卫生防护距离标准》（GB18081）规定。</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rPr>
                    <w:t>根据《忻州市人民政府办公厅关于加强全市殡葬改革和殡葬基础设施建设的通知》（忻政办发[2018]97号）文件的要求，已划定为火葬区未建起殡仪馆的定襄县、五台县等12个县（市），要优先建设带有火化功能的殡仪馆；五台县行政审批服务管理局以五审管函[202</w:t>
                  </w:r>
                  <w:r>
                    <w:rPr>
                      <w:rFonts w:hint="eastAsia" w:cs="宋体"/>
                      <w:color w:val="auto"/>
                      <w:kern w:val="0"/>
                      <w:szCs w:val="21"/>
                      <w:lang w:val="en-US" w:eastAsia="zh-CN"/>
                    </w:rPr>
                    <w:t>2</w:t>
                  </w:r>
                  <w:r>
                    <w:rPr>
                      <w:rFonts w:hint="eastAsia" w:cs="宋体"/>
                      <w:color w:val="auto"/>
                      <w:kern w:val="0"/>
                      <w:szCs w:val="21"/>
                    </w:rPr>
                    <w:t>]</w:t>
                  </w:r>
                  <w:r>
                    <w:rPr>
                      <w:rFonts w:hint="eastAsia" w:cs="宋体"/>
                      <w:color w:val="auto"/>
                      <w:kern w:val="0"/>
                      <w:szCs w:val="21"/>
                      <w:lang w:val="en-US" w:eastAsia="zh-CN"/>
                    </w:rPr>
                    <w:t>8</w:t>
                  </w:r>
                  <w:r>
                    <w:rPr>
                      <w:rFonts w:hint="eastAsia" w:cs="宋体"/>
                      <w:color w:val="auto"/>
                      <w:kern w:val="0"/>
                      <w:szCs w:val="21"/>
                    </w:rPr>
                    <w:t>号文对项目可行性研究报告予以批复；本项目符合国民经济和社会发展规划。</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lang w:val="en-US" w:eastAsia="zh-CN"/>
                    </w:rPr>
                    <w:t>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的建设符合五台县的国土空间利用规划。</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本项目未建在“三沿六区（公路、铁路、河道沿线和水源保护区、文物保护区、风景旅游区、住宅区、开发区、水库堤坝区）”以及各类自然保护地范围内；距本项目拟建场址最近的居住区为距场址</w:t>
                  </w:r>
                  <w:r>
                    <w:rPr>
                      <w:rFonts w:hint="eastAsia"/>
                      <w:color w:val="auto"/>
                      <w:kern w:val="0"/>
                      <w:szCs w:val="21"/>
                      <w:lang w:val="en-US" w:eastAsia="zh-CN"/>
                    </w:rPr>
                    <w:t>东南</w:t>
                  </w:r>
                  <w:r>
                    <w:rPr>
                      <w:rFonts w:hint="eastAsia"/>
                      <w:color w:val="auto"/>
                      <w:kern w:val="0"/>
                      <w:szCs w:val="21"/>
                    </w:rPr>
                    <w:t>侧约</w:t>
                  </w:r>
                  <w:r>
                    <w:rPr>
                      <w:rFonts w:hint="eastAsia"/>
                      <w:color w:val="auto"/>
                      <w:kern w:val="0"/>
                      <w:szCs w:val="21"/>
                      <w:lang w:val="en-US" w:eastAsia="zh-CN"/>
                    </w:rPr>
                    <w:t>1450</w:t>
                  </w:r>
                  <w:r>
                    <w:rPr>
                      <w:rFonts w:hint="eastAsia"/>
                      <w:color w:val="auto"/>
                      <w:kern w:val="0"/>
                      <w:szCs w:val="21"/>
                    </w:rPr>
                    <w:t>m的</w:t>
                  </w:r>
                  <w:r>
                    <w:rPr>
                      <w:rFonts w:hint="eastAsia"/>
                      <w:color w:val="auto"/>
                      <w:kern w:val="0"/>
                      <w:szCs w:val="21"/>
                      <w:lang w:val="en-US" w:eastAsia="zh-CN"/>
                    </w:rPr>
                    <w:t>黑虎岔</w:t>
                  </w:r>
                  <w:r>
                    <w:rPr>
                      <w:rFonts w:hint="eastAsia"/>
                      <w:color w:val="auto"/>
                      <w:kern w:val="0"/>
                      <w:szCs w:val="21"/>
                    </w:rPr>
                    <w:t>村。</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根据五台县气象站（53681）2000-2019年气象数据统计分析可知，五台县豆村气象站主要风向为WNW、NW、W，占58.7％，其中以WNW为主风向，占到全年10.1％左右；多年平均风速为1.6m/s。本项目位于</w:t>
                  </w:r>
                  <w:r>
                    <w:rPr>
                      <w:rFonts w:hint="eastAsia"/>
                      <w:color w:val="auto"/>
                      <w:kern w:val="0"/>
                      <w:szCs w:val="21"/>
                      <w:lang w:val="en-US" w:eastAsia="zh-CN"/>
                    </w:rPr>
                    <w:t>黑虎岔</w:t>
                  </w:r>
                  <w:r>
                    <w:rPr>
                      <w:rFonts w:hint="eastAsia"/>
                      <w:color w:val="auto"/>
                      <w:kern w:val="0"/>
                      <w:szCs w:val="21"/>
                    </w:rPr>
                    <w:t>村</w:t>
                  </w:r>
                  <w:r>
                    <w:rPr>
                      <w:rFonts w:hint="eastAsia"/>
                      <w:color w:val="auto"/>
                      <w:kern w:val="0"/>
                      <w:szCs w:val="21"/>
                      <w:lang w:val="en-US" w:eastAsia="zh-CN"/>
                    </w:rPr>
                    <w:t>西北</w:t>
                  </w:r>
                  <w:r>
                    <w:rPr>
                      <w:rFonts w:hint="eastAsia"/>
                      <w:color w:val="auto"/>
                      <w:kern w:val="0"/>
                      <w:szCs w:val="21"/>
                    </w:rPr>
                    <w:t>侧约</w:t>
                  </w:r>
                  <w:r>
                    <w:rPr>
                      <w:rFonts w:hint="eastAsia"/>
                      <w:color w:val="auto"/>
                      <w:kern w:val="0"/>
                      <w:szCs w:val="21"/>
                      <w:lang w:val="en-US" w:eastAsia="zh-CN"/>
                    </w:rPr>
                    <w:t>1450</w:t>
                  </w:r>
                  <w:r>
                    <w:rPr>
                      <w:rFonts w:hint="eastAsia"/>
                      <w:color w:val="auto"/>
                      <w:kern w:val="0"/>
                      <w:szCs w:val="21"/>
                    </w:rPr>
                    <w:t>m处，位于WNW风向的</w:t>
                  </w:r>
                  <w:r>
                    <w:rPr>
                      <w:rFonts w:hint="eastAsia"/>
                      <w:color w:val="auto"/>
                      <w:kern w:val="0"/>
                      <w:szCs w:val="21"/>
                      <w:lang w:val="en-US" w:eastAsia="zh-CN"/>
                    </w:rPr>
                    <w:t>上</w:t>
                  </w:r>
                  <w:r>
                    <w:rPr>
                      <w:rFonts w:hint="eastAsia"/>
                      <w:color w:val="auto"/>
                      <w:kern w:val="0"/>
                      <w:szCs w:val="21"/>
                    </w:rPr>
                    <w:t>风向</w:t>
                  </w:r>
                  <w:r>
                    <w:rPr>
                      <w:rFonts w:hint="eastAsia"/>
                      <w:color w:val="auto"/>
                      <w:kern w:val="0"/>
                      <w:szCs w:val="21"/>
                      <w:lang w:eastAsia="zh-CN"/>
                    </w:rPr>
                    <w:t>，</w:t>
                  </w:r>
                  <w:r>
                    <w:rPr>
                      <w:rFonts w:hint="eastAsia"/>
                      <w:color w:val="auto"/>
                      <w:kern w:val="0"/>
                      <w:szCs w:val="21"/>
                      <w:lang w:val="en-US" w:eastAsia="zh-CN"/>
                    </w:rPr>
                    <w:t>本项目厂址与黑虎岔村中间有山体阻隔，对下风向的黑虎岔村影响较小</w:t>
                  </w:r>
                  <w:r>
                    <w:rPr>
                      <w:rFonts w:hint="eastAsia"/>
                      <w:color w:val="auto"/>
                      <w:kern w:val="0"/>
                      <w:szCs w:val="21"/>
                    </w:rPr>
                    <w:t>。</w:t>
                  </w:r>
                  <w:r>
                    <w:rPr>
                      <w:rFonts w:hint="eastAsia"/>
                      <w:bCs/>
                      <w:color w:val="auto"/>
                      <w:kern w:val="0"/>
                      <w:szCs w:val="21"/>
                    </w:rPr>
                    <w:t>符合</w:t>
                  </w:r>
                  <w:r>
                    <w:rPr>
                      <w:rFonts w:hint="eastAsia"/>
                      <w:bCs/>
                      <w:color w:val="auto"/>
                      <w:kern w:val="0"/>
                      <w:szCs w:val="21"/>
                      <w:lang w:val="en-US" w:eastAsia="zh-CN"/>
                    </w:rPr>
                    <w:t>根据《大气有害物质无组织排放卫生防护距离推导技术导则》计算的卫生防护距离的要求</w:t>
                  </w:r>
                  <w:r>
                    <w:rPr>
                      <w:rFonts w:hint="eastAsia"/>
                      <w:bCs/>
                      <w:color w:val="auto"/>
                      <w:kern w:val="0"/>
                      <w:szCs w:val="21"/>
                    </w:rPr>
                    <w:t>。</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bCs/>
                      <w:color w:val="auto"/>
                      <w:kern w:val="0"/>
                      <w:szCs w:val="21"/>
                    </w:rPr>
                    <w:t>本项目产生的废水经污水处理站处理后夏季可用于道路浇洒及绿化浇灌，冬季定期由罐车统一抽送至五台县生活污水处理厂。</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布局规划</w:t>
                  </w: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根据殡仪服务流程，明确功能分区，同一功能区内的建筑用房可相对集中布置，管理及后勤区宜独立设置。</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rPr>
                    <w:t>本项目</w:t>
                  </w:r>
                  <w:r>
                    <w:rPr>
                      <w:rFonts w:hint="eastAsia"/>
                      <w:color w:val="auto"/>
                      <w:kern w:val="0"/>
                      <w:szCs w:val="21"/>
                    </w:rPr>
                    <w:t>同一功能区内的建筑用房集中布置，</w:t>
                  </w:r>
                  <w:r>
                    <w:rPr>
                      <w:rFonts w:hint="eastAsia"/>
                      <w:color w:val="auto"/>
                      <w:kern w:val="0"/>
                      <w:szCs w:val="21"/>
                      <w:lang w:val="en-US" w:eastAsia="zh-CN"/>
                    </w:rPr>
                    <w:t>南</w:t>
                  </w:r>
                  <w:r>
                    <w:rPr>
                      <w:rFonts w:hint="eastAsia"/>
                      <w:color w:val="auto"/>
                      <w:kern w:val="0"/>
                      <w:szCs w:val="21"/>
                    </w:rPr>
                    <w:t>侧布置为火化间、遗物焚烧间；中部布置为告别楼</w:t>
                  </w:r>
                  <w:r>
                    <w:rPr>
                      <w:rFonts w:hint="eastAsia"/>
                      <w:color w:val="auto"/>
                      <w:kern w:val="0"/>
                      <w:szCs w:val="21"/>
                      <w:lang w:eastAsia="zh-CN"/>
                    </w:rPr>
                    <w:t>（</w:t>
                  </w:r>
                  <w:r>
                    <w:rPr>
                      <w:rFonts w:hint="eastAsia"/>
                      <w:color w:val="auto"/>
                      <w:kern w:val="0"/>
                      <w:szCs w:val="21"/>
                      <w:lang w:val="en-US" w:eastAsia="zh-CN"/>
                    </w:rPr>
                    <w:t>含</w:t>
                  </w:r>
                  <w:r>
                    <w:rPr>
                      <w:rFonts w:hint="eastAsia"/>
                      <w:color w:val="auto"/>
                      <w:kern w:val="0"/>
                      <w:szCs w:val="21"/>
                    </w:rPr>
                    <w:t>遗体处理用房</w:t>
                  </w:r>
                  <w:r>
                    <w:rPr>
                      <w:rFonts w:hint="eastAsia"/>
                      <w:color w:val="auto"/>
                      <w:kern w:val="0"/>
                      <w:szCs w:val="21"/>
                      <w:lang w:eastAsia="zh-CN"/>
                    </w:rPr>
                    <w:t>、</w:t>
                  </w:r>
                  <w:r>
                    <w:rPr>
                      <w:rFonts w:hint="eastAsia"/>
                      <w:color w:val="auto"/>
                      <w:kern w:val="0"/>
                      <w:szCs w:val="21"/>
                    </w:rPr>
                    <w:t>骨灰寄存用房</w:t>
                  </w:r>
                  <w:r>
                    <w:rPr>
                      <w:rFonts w:hint="eastAsia"/>
                      <w:color w:val="auto"/>
                      <w:kern w:val="0"/>
                      <w:szCs w:val="21"/>
                      <w:lang w:eastAsia="zh-CN"/>
                    </w:rPr>
                    <w:t>）</w:t>
                  </w:r>
                  <w:r>
                    <w:rPr>
                      <w:rFonts w:hint="eastAsia"/>
                      <w:color w:val="auto"/>
                      <w:kern w:val="0"/>
                      <w:szCs w:val="21"/>
                    </w:rPr>
                    <w:t>；</w:t>
                  </w:r>
                  <w:r>
                    <w:rPr>
                      <w:rFonts w:hint="eastAsia"/>
                      <w:color w:val="auto"/>
                      <w:kern w:val="0"/>
                      <w:szCs w:val="21"/>
                      <w:lang w:val="en-US" w:eastAsia="zh-CN"/>
                    </w:rPr>
                    <w:t>北</w:t>
                  </w:r>
                  <w:r>
                    <w:rPr>
                      <w:rFonts w:hint="eastAsia"/>
                      <w:color w:val="auto"/>
                      <w:kern w:val="0"/>
                      <w:szCs w:val="21"/>
                    </w:rPr>
                    <w:t>部布置为办公用房及后勤管理用房、设备停车场等。</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馆区内应设置接运遗体的专用道路和专用出入口，火化车间宜与其他功能区域保持一定距离。</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210" w:firstLineChars="100"/>
                    <w:rPr>
                      <w:rFonts w:hint="eastAsia" w:cs="宋体"/>
                      <w:color w:val="auto"/>
                      <w:kern w:val="0"/>
                      <w:szCs w:val="21"/>
                    </w:rPr>
                  </w:pPr>
                  <w:r>
                    <w:rPr>
                      <w:rFonts w:hint="eastAsia"/>
                      <w:color w:val="auto"/>
                      <w:kern w:val="0"/>
                      <w:szCs w:val="21"/>
                    </w:rPr>
                    <w:t>馆区内设置有接运遗体的专用道路和专用出入口；火化区位于场区内最</w:t>
                  </w:r>
                  <w:r>
                    <w:rPr>
                      <w:rFonts w:hint="eastAsia"/>
                      <w:color w:val="auto"/>
                      <w:kern w:val="0"/>
                      <w:szCs w:val="21"/>
                      <w:lang w:val="en-US" w:eastAsia="zh-CN"/>
                    </w:rPr>
                    <w:t>南</w:t>
                  </w:r>
                  <w:r>
                    <w:rPr>
                      <w:rFonts w:hint="eastAsia"/>
                      <w:color w:val="auto"/>
                      <w:kern w:val="0"/>
                      <w:szCs w:val="21"/>
                    </w:rPr>
                    <w:t>侧，与其他功能区域保持有一定距离。</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应设置室外公共活动场地和公共厕所。</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rPr>
                    <w:t>本项目设置有室外公共活动场地和公共厕所。</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配套建设机动车和非机动车停放设施，殡仪车停车场与公共停车场应分开设置。</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rPr>
                    <w:t>本项目设有殡仪车专用停车库，同时设有社会车辆停车场。</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容积率不低于0.2，绿地率不低于35%。</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s="宋体"/>
                      <w:color w:val="auto"/>
                      <w:kern w:val="0"/>
                      <w:szCs w:val="21"/>
                    </w:rPr>
                  </w:pPr>
                  <w:r>
                    <w:rPr>
                      <w:rFonts w:hint="eastAsia" w:cs="宋体"/>
                      <w:color w:val="auto"/>
                      <w:kern w:val="0"/>
                      <w:szCs w:val="21"/>
                    </w:rPr>
                    <w:t>本项目容积率0.2</w:t>
                  </w:r>
                  <w:r>
                    <w:rPr>
                      <w:rFonts w:hint="eastAsia" w:cs="宋体"/>
                      <w:color w:val="auto"/>
                      <w:kern w:val="0"/>
                      <w:szCs w:val="21"/>
                      <w:lang w:val="en-US" w:eastAsia="zh-CN"/>
                    </w:rPr>
                    <w:t>1</w:t>
                  </w:r>
                  <w:r>
                    <w:rPr>
                      <w:rFonts w:hint="eastAsia" w:cs="宋体"/>
                      <w:color w:val="auto"/>
                      <w:kern w:val="0"/>
                      <w:szCs w:val="21"/>
                    </w:rPr>
                    <w:t>，可行性研究报告设计绿化率30%，环评要求建设单位实际建设中应满足绿化率35%的要求。</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建设规模</w:t>
                  </w: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常住人口11-28万以内，殡仪馆（五类），占地面积15-33亩，建筑面积2000-4400m</w:t>
                  </w:r>
                  <w:r>
                    <w:rPr>
                      <w:rFonts w:hint="eastAsia"/>
                      <w:color w:val="auto"/>
                      <w:kern w:val="0"/>
                      <w:szCs w:val="21"/>
                      <w:vertAlign w:val="superscript"/>
                    </w:rPr>
                    <w:t>2</w:t>
                  </w:r>
                  <w:r>
                    <w:rPr>
                      <w:rFonts w:hint="eastAsia"/>
                      <w:color w:val="auto"/>
                      <w:kern w:val="0"/>
                      <w:szCs w:val="21"/>
                    </w:rPr>
                    <w:t>。</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根据五台县第七次全国人口普查公报，五台县常住人口216178人，</w:t>
                  </w:r>
                  <w:r>
                    <w:rPr>
                      <w:rFonts w:hint="eastAsia"/>
                      <w:bCs/>
                      <w:color w:val="auto"/>
                      <w:kern w:val="0"/>
                      <w:szCs w:val="21"/>
                    </w:rPr>
                    <w:t>五台县殡仪馆以五类馆规模建设，项目占地面积</w:t>
                  </w:r>
                  <w:r>
                    <w:rPr>
                      <w:rFonts w:hint="eastAsia"/>
                      <w:bCs/>
                      <w:color w:val="auto"/>
                      <w:kern w:val="0"/>
                      <w:szCs w:val="21"/>
                      <w:lang w:val="en-US" w:eastAsia="zh-CN"/>
                    </w:rPr>
                    <w:t>34.68</w:t>
                  </w:r>
                  <w:r>
                    <w:rPr>
                      <w:rFonts w:hint="eastAsia"/>
                      <w:bCs/>
                      <w:color w:val="auto"/>
                      <w:kern w:val="0"/>
                      <w:szCs w:val="21"/>
                    </w:rPr>
                    <w:t>亩，建筑面积</w:t>
                  </w:r>
                  <w:r>
                    <w:rPr>
                      <w:rFonts w:hint="eastAsia"/>
                      <w:bCs/>
                      <w:color w:val="auto"/>
                      <w:kern w:val="0"/>
                      <w:szCs w:val="21"/>
                      <w:lang w:val="en-US" w:eastAsia="zh-CN"/>
                    </w:rPr>
                    <w:t>4732.91</w:t>
                  </w:r>
                  <w:r>
                    <w:rPr>
                      <w:rFonts w:hint="eastAsia"/>
                      <w:bCs/>
                      <w:color w:val="auto"/>
                      <w:kern w:val="0"/>
                      <w:szCs w:val="21"/>
                    </w:rPr>
                    <w:t>m</w:t>
                  </w:r>
                  <w:r>
                    <w:rPr>
                      <w:rFonts w:hint="eastAsia"/>
                      <w:bCs/>
                      <w:color w:val="auto"/>
                      <w:kern w:val="0"/>
                      <w:szCs w:val="21"/>
                      <w:vertAlign w:val="superscript"/>
                    </w:rPr>
                    <w:t>2</w:t>
                  </w:r>
                  <w:r>
                    <w:rPr>
                      <w:rFonts w:hint="eastAsia"/>
                      <w:bCs/>
                      <w:color w:val="auto"/>
                      <w:kern w:val="0"/>
                      <w:szCs w:val="21"/>
                    </w:rPr>
                    <w:t>。建筑面积多出部分主要为</w:t>
                  </w:r>
                  <w:r>
                    <w:rPr>
                      <w:rFonts w:hint="eastAsia"/>
                      <w:color w:val="auto"/>
                    </w:rPr>
                    <w:t>告别楼多出建筑面积；因本项目服务于五台全县，随着观念进步，遗体火化的需求越来越多；本项目告别楼内设置有</w:t>
                  </w:r>
                  <w:r>
                    <w:rPr>
                      <w:rFonts w:hint="eastAsia"/>
                      <w:color w:val="auto"/>
                      <w:lang w:val="en-US" w:eastAsia="zh-CN"/>
                    </w:rPr>
                    <w:t>告别厅、灵堂、遗体处理区、骨灰寄存区</w:t>
                  </w:r>
                  <w:r>
                    <w:rPr>
                      <w:rFonts w:hint="eastAsia"/>
                      <w:color w:val="auto"/>
                      <w:lang w:eastAsia="zh-CN"/>
                    </w:rPr>
                    <w:t>，</w:t>
                  </w:r>
                  <w:r>
                    <w:rPr>
                      <w:rFonts w:hint="eastAsia"/>
                      <w:color w:val="auto"/>
                    </w:rPr>
                    <w:t>所以建筑面积较规定超出近</w:t>
                  </w:r>
                  <w:r>
                    <w:rPr>
                      <w:rFonts w:hint="eastAsia"/>
                      <w:color w:val="auto"/>
                      <w:lang w:val="en-US" w:eastAsia="zh-CN"/>
                    </w:rPr>
                    <w:t>333</w:t>
                  </w:r>
                  <w:r>
                    <w:rPr>
                      <w:rFonts w:hint="eastAsia"/>
                      <w:color w:val="auto"/>
                    </w:rPr>
                    <w:t>m</w:t>
                  </w:r>
                  <w:r>
                    <w:rPr>
                      <w:rFonts w:hint="eastAsia"/>
                      <w:color w:val="auto"/>
                      <w:vertAlign w:val="superscript"/>
                    </w:rPr>
                    <w:t>2</w:t>
                  </w:r>
                  <w:r>
                    <w:rPr>
                      <w:rFonts w:hint="eastAsia"/>
                      <w:color w:val="auto"/>
                    </w:rPr>
                    <w:t>。</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基本</w:t>
                  </w:r>
                </w:p>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专用设备</w:t>
                  </w: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火化机、遗物焚烧炉等的污染物排放检测值，特别是二噁英排放检测值宜按严于相应的国家、行业标准执行；专用焚烧设施应严格执行《火葬场大气污染物排放标准》（GB13801），做到节约用地，处理工艺先进，不产生二次污染。</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bCs/>
                      <w:color w:val="auto"/>
                      <w:kern w:val="0"/>
                      <w:szCs w:val="21"/>
                    </w:rPr>
                    <w:t>本项目购置的YQ欧亚式火化机，属目前国内先进的火化设备，燃烧过程采用FWC型控制器，全自动控制实现自动点火、自动调整炉膛压力、自动调整炉膛内燃烧用的空气量、自动控制炉膛内的温度在合适的范围内。采用的是二级燃烧技术，以充分氧化分解产生的污染物，从而达到去除烟尘、恶臭气体的目的。</w:t>
                  </w:r>
                  <w:r>
                    <w:rPr>
                      <w:rFonts w:hint="eastAsia"/>
                      <w:color w:val="auto"/>
                      <w:kern w:val="0"/>
                      <w:szCs w:val="21"/>
                    </w:rPr>
                    <w:t>本项目火化机、遗物祭品焚烧炉烟气可满足《火葬场大气污染物排放标准》（GB13801-2015）的限值要求。</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火化机炉型配置合理，能满足多种服务需求。火化机配置数量按殡仪馆类别确定：五类2-3台。</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本项目拟设置3台燃油火化机，</w:t>
                  </w:r>
                  <w:r>
                    <w:rPr>
                      <w:rFonts w:hint="eastAsia"/>
                      <w:bCs/>
                      <w:color w:val="auto"/>
                      <w:kern w:val="0"/>
                      <w:szCs w:val="21"/>
                    </w:rPr>
                    <w:t>年最大服务能力为火化2190具遗体，每台火化机以每日火化两具遗体计。根据五台县2018年统计公报，2018年末全县死亡人口2130人，死亡率为6.94‰；根据五台县2019年统计公报，2019年全县死亡人口2124人，死亡率为6.92‰。本项目火化机配置可以满足全县死亡人员遗体火化需求。</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殡仪车配置数量按殡仪馆类别确定：五类2-3台。偏远地区殡仪馆殡仪车的数量可适当增加，按需确定。</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本项目选用5台殡仪车。因五台县地处山区，地形复杂，交通不便，为更好的服务辖区内5镇、11乡、1个驼梁景区，495个行政村的遗体火化需求，特选用5台殡仪车。</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原则上大悼念厅不超600m</w:t>
                  </w:r>
                  <w:r>
                    <w:rPr>
                      <w:rFonts w:hint="eastAsia"/>
                      <w:color w:val="auto"/>
                      <w:kern w:val="0"/>
                      <w:szCs w:val="21"/>
                      <w:vertAlign w:val="superscript"/>
                    </w:rPr>
                    <w:t>2</w:t>
                  </w:r>
                  <w:r>
                    <w:rPr>
                      <w:rFonts w:hint="eastAsia"/>
                      <w:color w:val="auto"/>
                      <w:kern w:val="0"/>
                      <w:szCs w:val="21"/>
                    </w:rPr>
                    <w:t>、中悼念厅不超300m</w:t>
                  </w:r>
                  <w:r>
                    <w:rPr>
                      <w:rFonts w:hint="eastAsia"/>
                      <w:color w:val="auto"/>
                      <w:kern w:val="0"/>
                      <w:szCs w:val="21"/>
                      <w:vertAlign w:val="superscript"/>
                    </w:rPr>
                    <w:t>2</w:t>
                  </w:r>
                  <w:r>
                    <w:rPr>
                      <w:rFonts w:hint="eastAsia"/>
                      <w:color w:val="auto"/>
                      <w:kern w:val="0"/>
                      <w:szCs w:val="21"/>
                    </w:rPr>
                    <w:t>、小悼念厅不超150m</w:t>
                  </w:r>
                  <w:r>
                    <w:rPr>
                      <w:rFonts w:hint="eastAsia"/>
                      <w:color w:val="auto"/>
                      <w:kern w:val="0"/>
                      <w:szCs w:val="21"/>
                      <w:vertAlign w:val="superscript"/>
                    </w:rPr>
                    <w:t>2</w:t>
                  </w:r>
                  <w:r>
                    <w:rPr>
                      <w:rFonts w:hint="eastAsia"/>
                      <w:color w:val="auto"/>
                      <w:kern w:val="0"/>
                      <w:szCs w:val="21"/>
                    </w:rPr>
                    <w:t>。悼念厅、守灵间总面积五类不超1100m</w:t>
                  </w:r>
                  <w:r>
                    <w:rPr>
                      <w:rFonts w:hint="eastAsia"/>
                      <w:color w:val="auto"/>
                      <w:kern w:val="0"/>
                      <w:szCs w:val="21"/>
                      <w:vertAlign w:val="superscript"/>
                    </w:rPr>
                    <w:t>2</w:t>
                  </w:r>
                  <w:r>
                    <w:rPr>
                      <w:rFonts w:hint="eastAsia"/>
                      <w:color w:val="auto"/>
                      <w:kern w:val="0"/>
                      <w:szCs w:val="21"/>
                    </w:rPr>
                    <w:t>。</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eastAsia="宋体"/>
                      <w:color w:val="auto"/>
                      <w:kern w:val="0"/>
                      <w:szCs w:val="21"/>
                      <w:lang w:val="en-US" w:eastAsia="zh-CN"/>
                    </w:rPr>
                  </w:pPr>
                  <w:r>
                    <w:rPr>
                      <w:rFonts w:hint="eastAsia"/>
                      <w:color w:val="auto"/>
                    </w:rPr>
                    <w:t>本项目告别楼内设置有</w:t>
                  </w:r>
                  <w:r>
                    <w:rPr>
                      <w:rFonts w:hint="eastAsia"/>
                      <w:color w:val="auto"/>
                      <w:szCs w:val="21"/>
                      <w:lang w:val="en-US" w:eastAsia="zh-CN"/>
                    </w:rPr>
                    <w:t>告别厅、灵堂、遗体处理区、骨灰寄存区</w:t>
                  </w:r>
                  <w:r>
                    <w:rPr>
                      <w:rFonts w:hint="eastAsia"/>
                      <w:color w:val="auto"/>
                      <w:lang w:eastAsia="zh-CN"/>
                    </w:rPr>
                    <w:t>，</w:t>
                  </w:r>
                  <w:r>
                    <w:rPr>
                      <w:rFonts w:hint="eastAsia"/>
                      <w:color w:val="auto"/>
                    </w:rPr>
                    <w:t>告别楼总建筑面积</w:t>
                  </w:r>
                  <w:r>
                    <w:rPr>
                      <w:rFonts w:hint="eastAsia"/>
                      <w:color w:val="auto"/>
                      <w:lang w:val="en-US" w:eastAsia="zh-CN"/>
                    </w:rPr>
                    <w:t>2565.72</w:t>
                  </w:r>
                  <w:r>
                    <w:rPr>
                      <w:rFonts w:hint="eastAsia"/>
                      <w:color w:val="auto"/>
                    </w:rPr>
                    <w:t>m</w:t>
                  </w:r>
                  <w:r>
                    <w:rPr>
                      <w:rFonts w:hint="eastAsia"/>
                      <w:color w:val="auto"/>
                      <w:vertAlign w:val="superscript"/>
                    </w:rPr>
                    <w:t>2</w:t>
                  </w:r>
                  <w:r>
                    <w:rPr>
                      <w:rFonts w:hint="eastAsia"/>
                      <w:color w:val="auto"/>
                    </w:rPr>
                    <w:t>；因本项目服务于五台全县，随着观念进步，遗体火化的需求越来越多，因此建设了建筑面积超过指南要求的告别楼。</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基本</w:t>
                  </w:r>
                </w:p>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p>
              </w:tc>
              <w:tc>
                <w:tcPr>
                  <w:tcW w:w="1760" w:type="pct"/>
                  <w:vAlign w:val="center"/>
                </w:tcPr>
                <w:p>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遗体冷藏柜和骨灰寄存格位配置数量按实际需要配置。原则上遗体冷藏柜县级馆配置50个以上。</w:t>
                  </w:r>
                </w:p>
              </w:tc>
              <w:tc>
                <w:tcPr>
                  <w:tcW w:w="2459" w:type="pct"/>
                  <w:vAlign w:val="center"/>
                </w:tcPr>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本项目设置有冷藏柜60个。</w:t>
                  </w:r>
                </w:p>
              </w:tc>
              <w:tc>
                <w:tcPr>
                  <w:tcW w:w="51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符合</w:t>
                  </w:r>
                </w:p>
              </w:tc>
            </w:tr>
          </w:tbl>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的建设符合五台县的国土空间利用规划。</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kern w:val="2"/>
                <w:sz w:val="24"/>
                <w:szCs w:val="24"/>
                <w:lang w:val="en-US" w:eastAsia="zh-CN" w:bidi="ar"/>
              </w:rPr>
              <w:t>本项目占地面积及建筑面积，均略超《山西省殡葬基础设施建设指南》的规定</w:t>
            </w:r>
            <w:r>
              <w:rPr>
                <w:rFonts w:hint="default" w:ascii="Times New Roman" w:hAnsi="Times New Roman" w:cs="Times New Roman"/>
                <w:bCs/>
                <w:color w:val="auto"/>
                <w:kern w:val="2"/>
                <w:sz w:val="24"/>
                <w:szCs w:val="24"/>
                <w:lang w:val="en-US" w:eastAsia="zh-CN" w:bidi="ar"/>
              </w:rPr>
              <w:t>，因本项目服务于五台全县，随着观念进步，遗体火化的需求越来越多；本项目告别楼内设置有告别厅、灵堂、遗体处理区、骨灰寄存区，所以建筑面积较规定超出近333m</w:t>
            </w:r>
            <w:r>
              <w:rPr>
                <w:rFonts w:hint="default" w:ascii="Times New Roman" w:hAnsi="Times New Roman" w:cs="Times New Roman"/>
                <w:bCs/>
                <w:color w:val="auto"/>
                <w:kern w:val="2"/>
                <w:sz w:val="24"/>
                <w:szCs w:val="24"/>
                <w:vertAlign w:val="superscript"/>
                <w:lang w:val="en-US" w:eastAsia="zh-CN" w:bidi="ar"/>
              </w:rPr>
              <w:t>2</w:t>
            </w:r>
            <w:r>
              <w:rPr>
                <w:rFonts w:hint="default" w:ascii="Times New Roman" w:hAnsi="Times New Roman" w:cs="Times New Roman"/>
                <w:bCs/>
                <w:color w:val="auto"/>
                <w:kern w:val="2"/>
                <w:sz w:val="24"/>
                <w:szCs w:val="24"/>
                <w:lang w:val="en-US" w:eastAsia="zh-CN" w:bidi="ar"/>
              </w:rPr>
              <w:t>。</w:t>
            </w:r>
            <w:r>
              <w:rPr>
                <w:rFonts w:hint="default" w:ascii="Times New Roman" w:hAnsi="Times New Roman" w:cs="Times New Roman"/>
                <w:bCs/>
                <w:color w:val="auto"/>
                <w:sz w:val="24"/>
              </w:rPr>
              <w:t>《五台县殡仪馆项目可行性研究报告》于202</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年</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月</w:t>
            </w:r>
            <w:r>
              <w:rPr>
                <w:rFonts w:hint="default" w:ascii="Times New Roman" w:hAnsi="Times New Roman" w:cs="Times New Roman"/>
                <w:bCs/>
                <w:color w:val="auto"/>
                <w:sz w:val="24"/>
                <w:lang w:val="en-US" w:eastAsia="zh-CN"/>
              </w:rPr>
              <w:t>25</w:t>
            </w:r>
            <w:r>
              <w:rPr>
                <w:rFonts w:hint="default" w:ascii="Times New Roman" w:hAnsi="Times New Roman" w:cs="Times New Roman"/>
                <w:bCs/>
                <w:color w:val="auto"/>
                <w:sz w:val="24"/>
              </w:rPr>
              <w:t>日由五台县行政审批服务管理局以五审管函[202</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rPr>
              <w:t>号文予以批复</w:t>
            </w:r>
            <w:r>
              <w:rPr>
                <w:rFonts w:hint="eastAsia" w:cs="Times New Roman"/>
                <w:bCs/>
                <w:color w:val="auto"/>
                <w:sz w:val="24"/>
                <w:lang w:eastAsia="zh-CN"/>
              </w:rPr>
              <w:t>，《</w:t>
            </w:r>
            <w:r>
              <w:rPr>
                <w:rFonts w:hint="default" w:ascii="Times New Roman" w:hAnsi="Times New Roman" w:cs="Times New Roman"/>
                <w:bCs/>
                <w:color w:val="auto"/>
                <w:sz w:val="24"/>
              </w:rPr>
              <w:t>五台县殡仪馆项目</w:t>
            </w:r>
            <w:r>
              <w:rPr>
                <w:rFonts w:hint="eastAsia" w:cs="Times New Roman"/>
                <w:bCs/>
                <w:color w:val="auto"/>
                <w:sz w:val="24"/>
                <w:lang w:val="en-US" w:eastAsia="zh-CN"/>
              </w:rPr>
              <w:t>初步设计</w:t>
            </w:r>
            <w:r>
              <w:rPr>
                <w:rFonts w:hint="eastAsia" w:cs="Times New Roman"/>
                <w:bCs/>
                <w:color w:val="auto"/>
                <w:sz w:val="24"/>
                <w:lang w:eastAsia="zh-CN"/>
              </w:rPr>
              <w:t>》</w:t>
            </w:r>
            <w:r>
              <w:rPr>
                <w:rFonts w:hint="eastAsia"/>
                <w:b w:val="0"/>
                <w:bCs/>
                <w:color w:val="auto"/>
                <w:sz w:val="24"/>
                <w:lang w:val="en-US" w:eastAsia="zh-CN"/>
              </w:rPr>
              <w:t>于2022年3月16日</w:t>
            </w:r>
            <w:r>
              <w:rPr>
                <w:rFonts w:hint="default" w:ascii="Times New Roman" w:hAnsi="Times New Roman" w:cs="Times New Roman"/>
                <w:bCs/>
                <w:color w:val="auto"/>
                <w:sz w:val="24"/>
              </w:rPr>
              <w:t>由五台县行政审批服务管理局</w:t>
            </w:r>
            <w:r>
              <w:rPr>
                <w:rFonts w:hint="eastAsia"/>
                <w:b w:val="0"/>
                <w:bCs/>
                <w:color w:val="auto"/>
                <w:sz w:val="24"/>
                <w:lang w:val="en-US" w:eastAsia="zh-CN"/>
              </w:rPr>
              <w:t>以五审管函[2022]14号文件予以批复</w:t>
            </w:r>
            <w:r>
              <w:rPr>
                <w:rFonts w:hint="default" w:ascii="Times New Roman" w:hAnsi="Times New Roman" w:cs="Times New Roman"/>
                <w:bCs/>
                <w:color w:val="auto"/>
                <w:sz w:val="24"/>
              </w:rPr>
              <w:t>，原则同意该可行性研究报告提出的建设方案和建设内容。</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r>
              <w:rPr>
                <w:rFonts w:hint="eastAsia"/>
                <w:bCs/>
                <w:color w:val="auto"/>
                <w:sz w:val="24"/>
              </w:rPr>
              <w:t>同时</w:t>
            </w:r>
            <w:r>
              <w:rPr>
                <w:rFonts w:hint="eastAsia"/>
                <w:color w:val="auto"/>
                <w:kern w:val="0"/>
                <w:sz w:val="24"/>
              </w:rPr>
              <w:t>由上表可知，本项目基本符合《山西省殡葬基础设施建设指南-山西省殡仪馆建设指南》中项目选址、规划布局、建设规模、专用设备等方面的要求。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eastAsia="宋体"/>
                <w:b/>
                <w:bCs/>
                <w:color w:val="auto"/>
                <w:kern w:val="0"/>
                <w:sz w:val="24"/>
                <w:lang w:val="en-US" w:eastAsia="zh-CN"/>
              </w:rPr>
            </w:pPr>
            <w:r>
              <w:rPr>
                <w:rFonts w:hint="eastAsia"/>
                <w:b/>
                <w:bCs/>
                <w:color w:val="auto"/>
                <w:kern w:val="0"/>
                <w:sz w:val="24"/>
                <w:lang w:val="en-US" w:eastAsia="zh-CN"/>
              </w:rPr>
              <w:t>7、选址可行性分析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s="Times New Roman"/>
                <w:color w:val="auto"/>
                <w:kern w:val="0"/>
                <w:sz w:val="24"/>
                <w:szCs w:val="24"/>
                <w:lang w:val="en-US" w:eastAsia="zh-CN"/>
              </w:rPr>
            </w:pPr>
            <w:r>
              <w:rPr>
                <w:rFonts w:hint="eastAsia"/>
                <w:b w:val="0"/>
                <w:bCs/>
                <w:color w:val="auto"/>
                <w:sz w:val="24"/>
                <w:lang w:val="en-US" w:eastAsia="zh-CN"/>
              </w:rPr>
              <w:t>本项目拟建场址位于</w:t>
            </w:r>
            <w:r>
              <w:rPr>
                <w:rFonts w:hint="eastAsia"/>
                <w:b w:val="0"/>
                <w:bCs/>
                <w:color w:val="auto"/>
                <w:sz w:val="24"/>
              </w:rPr>
              <w:t>山西省忻州市五台县沟南乡南山村，</w:t>
            </w:r>
            <w:r>
              <w:rPr>
                <w:rFonts w:hint="eastAsia" w:cs="Times New Roman"/>
                <w:color w:val="auto"/>
                <w:kern w:val="0"/>
                <w:sz w:val="24"/>
                <w:szCs w:val="24"/>
                <w:lang w:val="en-US" w:eastAsia="zh-CN"/>
              </w:rPr>
              <w:t>沟南乡南山村因水电路不通，1995年已成空壳村，属于自然移民，已全部移民至北侧约2400m的松台村；距本项目拟建场址最近的居住区为距场址东南侧约1450m的黑虎岔村；本项目拟建场址位于五台县中心城区边界、建成区边界南侧约5.3km处</w:t>
            </w:r>
            <w:r>
              <w:rPr>
                <w:rFonts w:hint="eastAsia"/>
                <w:color w:val="auto"/>
                <w:sz w:val="24"/>
                <w:szCs w:val="20"/>
              </w:rPr>
              <w:t>，不在五台县城市规划范围内</w:t>
            </w:r>
            <w:r>
              <w:rPr>
                <w:rFonts w:hint="eastAsia" w:cs="Times New Roman"/>
                <w:color w:val="auto"/>
                <w:kern w:val="0"/>
                <w:sz w:val="24"/>
                <w:szCs w:val="24"/>
                <w:lang w:val="en-US" w:eastAsia="zh-CN"/>
              </w:rPr>
              <w:t>。</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eastAsia="宋体"/>
                <w:color w:val="auto"/>
                <w:sz w:val="24"/>
                <w:lang w:val="en-US" w:eastAsia="zh-CN"/>
              </w:rPr>
            </w:pPr>
            <w:r>
              <w:rPr>
                <w:rFonts w:hint="eastAsia"/>
                <w:color w:val="auto"/>
                <w:sz w:val="24"/>
              </w:rPr>
              <w:t>根据《山西省人民政府关于实施“三线一单”生态环境分区管控的意见》（晋政发[2020]26号）以及《忻州市人民政府关于印发忻州市“三线一单”生态环境分区管控实施方案的通知》（忻政发[2021]12号），本项目</w:t>
            </w:r>
            <w:r>
              <w:rPr>
                <w:rFonts w:hint="eastAsia"/>
                <w:color w:val="auto"/>
                <w:sz w:val="24"/>
                <w:lang w:val="en-US" w:eastAsia="zh-CN"/>
              </w:rPr>
              <w:t>拟选场址</w:t>
            </w:r>
            <w:r>
              <w:rPr>
                <w:rFonts w:hint="eastAsia"/>
                <w:color w:val="auto"/>
                <w:sz w:val="24"/>
              </w:rPr>
              <w:t>位于优先保护单元中的五台县</w:t>
            </w:r>
            <w:r>
              <w:rPr>
                <w:rFonts w:hint="eastAsia"/>
                <w:color w:val="auto"/>
                <w:sz w:val="24"/>
                <w:lang w:val="en-US" w:eastAsia="zh-CN"/>
              </w:rPr>
              <w:t>盆地河流生态廊道一般生态空间优先</w:t>
            </w:r>
            <w:r>
              <w:rPr>
                <w:rFonts w:hint="eastAsia"/>
                <w:color w:val="auto"/>
                <w:sz w:val="24"/>
              </w:rPr>
              <w:t>保护单元</w:t>
            </w:r>
            <w:r>
              <w:rPr>
                <w:rFonts w:hint="eastAsia"/>
                <w:color w:val="auto"/>
                <w:sz w:val="24"/>
                <w:lang w:eastAsia="zh-CN"/>
              </w:rPr>
              <w:t>；</w:t>
            </w:r>
            <w:r>
              <w:rPr>
                <w:rFonts w:hint="eastAsia"/>
                <w:color w:val="auto"/>
                <w:sz w:val="24"/>
                <w:lang w:val="en-US" w:eastAsia="zh-CN"/>
              </w:rPr>
              <w:t>本项目为殡仪馆建设项目，</w:t>
            </w:r>
            <w:r>
              <w:rPr>
                <w:rFonts w:hint="eastAsia"/>
                <w:color w:val="auto"/>
                <w:sz w:val="24"/>
                <w:lang w:eastAsia="zh-CN"/>
              </w:rPr>
              <w:t>不属于依法禁止或限制</w:t>
            </w:r>
            <w:r>
              <w:rPr>
                <w:rFonts w:hint="eastAsia"/>
                <w:color w:val="auto"/>
                <w:sz w:val="24"/>
                <w:lang w:val="en-US" w:eastAsia="zh-CN"/>
              </w:rPr>
              <w:t>大规模、高强度的工业和城镇开发建设活动，不属于重污染行业；项目占地范围土地利用现状为其他草地，后续将变更为殡葬用地；五台县自然资源局于2022年1月27日对本项目用地预审与规划选址进行了公示；五台县人民政府于2022年3月10日以五政土地[2022]4号文对本项目用地进行批复；本项目的建设符合五台县的国土空间利用规划。同时，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本项目的建设符合“三线一单”的管控原则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lang w:val="en-US" w:eastAsia="zh-CN"/>
              </w:rPr>
            </w:pPr>
            <w:r>
              <w:rPr>
                <w:rFonts w:hint="eastAsia"/>
                <w:color w:val="auto"/>
                <w:sz w:val="24"/>
                <w:lang w:val="en-US" w:eastAsia="zh-CN"/>
              </w:rPr>
              <w:t>根据《忻州市人民政府办公厅关于加强全市殡葬改革和殡葬基础设施建设的通知》（忻政办发[2018]97号）文件的要求，已划定为火葬区未建起殡仪馆的定襄县、五台县等12个县（市），要优先建设带有火化功能的殡仪馆；</w:t>
            </w:r>
            <w:r>
              <w:rPr>
                <w:rFonts w:hint="eastAsia"/>
                <w:color w:val="auto"/>
                <w:sz w:val="24"/>
              </w:rPr>
              <w:t>本项目为殡仪馆建设项目，对区域建立布局合理、功能完善、生态文明的殡葬服务体系，实现殡葬公共服务覆盖全体城乡居民，实现殡葬习俗文明化和殡葬设施现代化具有重要意义，可减少土葬对</w:t>
            </w:r>
            <w:r>
              <w:rPr>
                <w:rFonts w:hint="eastAsia"/>
                <w:color w:val="auto"/>
                <w:sz w:val="24"/>
                <w:lang w:val="en-US" w:eastAsia="zh-CN"/>
              </w:rPr>
              <w:t>区域内</w:t>
            </w:r>
            <w:r>
              <w:rPr>
                <w:rFonts w:hint="eastAsia"/>
                <w:color w:val="auto"/>
                <w:sz w:val="24"/>
              </w:rPr>
              <w:t>土地的占用</w:t>
            </w:r>
            <w:r>
              <w:rPr>
                <w:rFonts w:hint="eastAsia"/>
                <w:color w:val="auto"/>
                <w:sz w:val="24"/>
                <w:lang w:eastAsia="zh-CN"/>
              </w:rPr>
              <w:t>；</w:t>
            </w:r>
            <w:r>
              <w:rPr>
                <w:rFonts w:hint="eastAsia"/>
                <w:color w:val="auto"/>
                <w:sz w:val="24"/>
                <w:lang w:val="en-US" w:eastAsia="zh-CN"/>
              </w:rPr>
              <w:t>综上所述，本项目的建设</w:t>
            </w:r>
            <w:r>
              <w:rPr>
                <w:rFonts w:hint="eastAsia"/>
                <w:color w:val="auto"/>
                <w:sz w:val="24"/>
                <w:lang w:eastAsia="zh-CN"/>
              </w:rPr>
              <w:t>不违背五台县城市发展规划，</w:t>
            </w:r>
            <w:r>
              <w:rPr>
                <w:rFonts w:hint="eastAsia"/>
                <w:color w:val="auto"/>
                <w:sz w:val="24"/>
                <w:lang w:val="en-US" w:eastAsia="zh-CN"/>
              </w:rPr>
              <w:t>不违背五台县生态功能区划、生态经济区划的相关要求。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lang w:val="en-US" w:eastAsia="zh-CN"/>
              </w:rPr>
            </w:pPr>
            <w:r>
              <w:rPr>
                <w:rFonts w:hint="eastAsia"/>
                <w:color w:val="auto"/>
                <w:kern w:val="0"/>
                <w:sz w:val="24"/>
                <w:lang w:val="en-US" w:eastAsia="zh-CN"/>
              </w:rPr>
              <w:t>本项目拟建场址周边无环境敏感区；</w:t>
            </w:r>
            <w:r>
              <w:rPr>
                <w:rFonts w:hint="eastAsia"/>
                <w:color w:val="auto"/>
                <w:kern w:val="0"/>
                <w:sz w:val="24"/>
              </w:rPr>
              <w:t>根据五台县气象站（53681）2000-2019年气象数据统计分析可知，五台县豆村气象站主要风向为WNW、NW、W，占58.7％，其中以WNW为主风向，占到全年10.1％左右；多年平均风速为1.6m/s。</w:t>
            </w:r>
            <w:r>
              <w:rPr>
                <w:rFonts w:hint="eastAsia"/>
                <w:color w:val="auto"/>
                <w:kern w:val="0"/>
                <w:sz w:val="24"/>
                <w:lang w:val="en-US" w:eastAsia="zh-CN"/>
              </w:rPr>
              <w:t>本项目拟建场址位于县城建成区南侧约5.3km，不位于县城主导风向的上风向；</w:t>
            </w:r>
            <w:r>
              <w:rPr>
                <w:rFonts w:hint="eastAsia" w:cs="Times New Roman"/>
                <w:color w:val="auto"/>
                <w:kern w:val="0"/>
                <w:sz w:val="24"/>
                <w:szCs w:val="24"/>
                <w:lang w:val="en-US" w:eastAsia="zh-CN"/>
              </w:rPr>
              <w:t>距本项目拟建场址最近的居住区为距场址东南侧约1450m的黑虎岔村，距离较远且中间有山体阻隔，对场址下风向的黑虎岔村影响较小。</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lang w:val="en-US" w:eastAsia="zh-CN"/>
              </w:rPr>
            </w:pPr>
            <w:r>
              <w:rPr>
                <w:rFonts w:hint="eastAsia"/>
                <w:color w:val="auto"/>
                <w:kern w:val="0"/>
                <w:sz w:val="24"/>
                <w:lang w:val="en-US" w:eastAsia="zh-CN"/>
              </w:rPr>
              <w:t>《五台县殡仪馆项目可行性研究报告》于2022年2月25日由五台县行政审批服务管理局以五审管函[2022]8号文予以批复，</w:t>
            </w:r>
            <w:r>
              <w:rPr>
                <w:rFonts w:hint="eastAsia" w:cs="Times New Roman"/>
                <w:bCs/>
                <w:color w:val="auto"/>
                <w:sz w:val="24"/>
                <w:lang w:eastAsia="zh-CN"/>
              </w:rPr>
              <w:t>《</w:t>
            </w:r>
            <w:r>
              <w:rPr>
                <w:rFonts w:hint="default" w:ascii="Times New Roman" w:hAnsi="Times New Roman" w:cs="Times New Roman"/>
                <w:bCs/>
                <w:color w:val="auto"/>
                <w:sz w:val="24"/>
              </w:rPr>
              <w:t>五台县殡仪馆项目</w:t>
            </w:r>
            <w:r>
              <w:rPr>
                <w:rFonts w:hint="eastAsia" w:cs="Times New Roman"/>
                <w:bCs/>
                <w:color w:val="auto"/>
                <w:sz w:val="24"/>
                <w:lang w:val="en-US" w:eastAsia="zh-CN"/>
              </w:rPr>
              <w:t>初步设计</w:t>
            </w:r>
            <w:r>
              <w:rPr>
                <w:rFonts w:hint="eastAsia" w:cs="Times New Roman"/>
                <w:bCs/>
                <w:color w:val="auto"/>
                <w:sz w:val="24"/>
                <w:lang w:eastAsia="zh-CN"/>
              </w:rPr>
              <w:t>》</w:t>
            </w:r>
            <w:r>
              <w:rPr>
                <w:rFonts w:hint="eastAsia"/>
                <w:b w:val="0"/>
                <w:bCs/>
                <w:color w:val="auto"/>
                <w:sz w:val="24"/>
                <w:lang w:val="en-US" w:eastAsia="zh-CN"/>
              </w:rPr>
              <w:t>于2022年3月16日</w:t>
            </w:r>
            <w:r>
              <w:rPr>
                <w:rFonts w:hint="default" w:ascii="Times New Roman" w:hAnsi="Times New Roman" w:cs="Times New Roman"/>
                <w:bCs/>
                <w:color w:val="auto"/>
                <w:sz w:val="24"/>
              </w:rPr>
              <w:t>由五台县行政审批服务管理局</w:t>
            </w:r>
            <w:r>
              <w:rPr>
                <w:rFonts w:hint="eastAsia"/>
                <w:b w:val="0"/>
                <w:bCs/>
                <w:color w:val="auto"/>
                <w:sz w:val="24"/>
                <w:lang w:val="en-US" w:eastAsia="zh-CN"/>
              </w:rPr>
              <w:t>以五审管函[2022]14号文件予以批复</w:t>
            </w:r>
            <w:r>
              <w:rPr>
                <w:rFonts w:hint="default" w:ascii="Times New Roman" w:hAnsi="Times New Roman" w:cs="Times New Roman"/>
                <w:bCs/>
                <w:color w:val="auto"/>
                <w:sz w:val="24"/>
              </w:rPr>
              <w:t>，</w:t>
            </w:r>
            <w:r>
              <w:rPr>
                <w:rFonts w:hint="eastAsia"/>
                <w:color w:val="auto"/>
                <w:kern w:val="0"/>
                <w:sz w:val="24"/>
                <w:lang w:val="en-US" w:eastAsia="zh-CN"/>
              </w:rPr>
              <w:t>原则同意该可行性研究报告提出的建设方案和建设内容。同时由表1-6分析可知，本项目基本符合《山西省殡葬基础设施建设指南-山西省殡仪馆建设指南》中项目选址、规划布局、建设规模、专用设备等方面的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auto"/>
                <w:kern w:val="0"/>
                <w:sz w:val="24"/>
                <w:lang w:val="en-US" w:eastAsia="zh-CN"/>
              </w:rPr>
            </w:pPr>
            <w:r>
              <w:rPr>
                <w:rFonts w:hint="eastAsia"/>
                <w:color w:val="auto"/>
                <w:kern w:val="0"/>
                <w:sz w:val="24"/>
                <w:lang w:val="en-US" w:eastAsia="zh-CN"/>
              </w:rPr>
              <w:t>由以上分析可知，本</w:t>
            </w:r>
            <w:r>
              <w:rPr>
                <w:rFonts w:hint="eastAsia"/>
                <w:color w:val="auto"/>
                <w:sz w:val="24"/>
                <w:lang w:val="en-US" w:eastAsia="zh-CN"/>
              </w:rPr>
              <w:t>项目的建设符合“三线一单”的管控原则要求，</w:t>
            </w:r>
            <w:r>
              <w:rPr>
                <w:rFonts w:hint="eastAsia"/>
                <w:color w:val="auto"/>
                <w:sz w:val="24"/>
                <w:lang w:eastAsia="zh-CN"/>
              </w:rPr>
              <w:t>不违背五台县城市发展规划，</w:t>
            </w:r>
            <w:r>
              <w:rPr>
                <w:rFonts w:hint="eastAsia"/>
                <w:color w:val="auto"/>
                <w:sz w:val="24"/>
                <w:lang w:val="en-US" w:eastAsia="zh-CN"/>
              </w:rPr>
              <w:t>不违背五台县生态功能区划、生态经济区划的相关要求；</w:t>
            </w:r>
            <w:r>
              <w:rPr>
                <w:rFonts w:hint="eastAsia"/>
                <w:color w:val="auto"/>
                <w:kern w:val="0"/>
                <w:sz w:val="24"/>
                <w:lang w:val="en-US" w:eastAsia="zh-CN"/>
              </w:rPr>
              <w:t>项目拟选场址周边无环境敏感区，对区域环境影响较小；基本符合山西省殡葬基础设施建设指南-山西省殡仪馆建设指南》中项目选址、规划布局、建设规模、专用设备等方面的要求；综上所述，本项目选址可行。</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kern w:val="0"/>
                <w:sz w:val="24"/>
              </w:rPr>
            </w:pPr>
          </w:p>
        </w:tc>
      </w:tr>
    </w:tbl>
    <w:p>
      <w:pPr>
        <w:spacing w:line="360" w:lineRule="auto"/>
        <w:outlineLvl w:val="0"/>
        <w:rPr>
          <w:rFonts w:eastAsia="黑体"/>
          <w:color w:val="auto"/>
          <w:sz w:val="30"/>
        </w:rPr>
        <w:sectPr>
          <w:footerReference r:id="rId5" w:type="default"/>
          <w:pgSz w:w="11906" w:h="16838"/>
          <w:pgMar w:top="1418" w:right="1418" w:bottom="1418" w:left="1418" w:header="907" w:footer="964" w:gutter="0"/>
          <w:pgNumType w:fmt="numberInDash" w:start="1"/>
          <w:cols w:space="720" w:num="1"/>
          <w:docGrid w:linePitch="312" w:charSpace="0"/>
        </w:sectPr>
      </w:pP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505"/>
        <w:gridCol w:w="8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239" w:type="pct"/>
            <w:vAlign w:val="center"/>
          </w:tcPr>
          <w:p>
            <w:pPr>
              <w:pStyle w:val="16"/>
              <w:keepNext w:val="0"/>
              <w:keepLines w:val="0"/>
              <w:suppressLineNumbers w:val="0"/>
              <w:adjustRightInd w:val="0"/>
              <w:snapToGrid w:val="0"/>
              <w:spacing w:before="0" w:beforeAutospacing="0" w:after="0" w:afterAutospacing="0"/>
              <w:ind w:left="0" w:right="0"/>
              <w:jc w:val="center"/>
              <w:rPr>
                <w:rFonts w:hint="eastAsia" w:cs="宋体"/>
                <w:color w:val="auto"/>
                <w:sz w:val="21"/>
                <w:szCs w:val="21"/>
              </w:rPr>
            </w:pPr>
            <w:r>
              <w:rPr>
                <w:rFonts w:hint="eastAsia" w:cs="宋体"/>
                <w:color w:val="auto"/>
                <w:sz w:val="21"/>
                <w:szCs w:val="21"/>
              </w:rPr>
              <w:t>建设内容</w:t>
            </w:r>
          </w:p>
        </w:tc>
        <w:tc>
          <w:tcPr>
            <w:tcW w:w="4760" w:type="pct"/>
            <w:gridSpan w:val="2"/>
          </w:tcPr>
          <w:p>
            <w:pPr>
              <w:keepNext w:val="0"/>
              <w:keepLines w:val="0"/>
              <w:suppressLineNumbers w:val="0"/>
              <w:adjustRightInd w:val="0"/>
              <w:snapToGrid w:val="0"/>
              <w:spacing w:before="0" w:beforeAutospacing="0" w:after="0" w:afterAutospacing="0" w:line="480" w:lineRule="exact"/>
              <w:ind w:left="0" w:right="0" w:firstLine="482" w:firstLineChars="200"/>
              <w:rPr>
                <w:rFonts w:hint="default" w:eastAsia="宋体"/>
                <w:b/>
                <w:color w:val="auto"/>
                <w:sz w:val="24"/>
                <w:lang w:val="en-US" w:eastAsia="zh-CN"/>
              </w:rPr>
            </w:pPr>
            <w:r>
              <w:rPr>
                <w:rFonts w:hint="eastAsia"/>
                <w:b/>
                <w:color w:val="auto"/>
                <w:sz w:val="24"/>
                <w:lang w:val="en-US" w:eastAsia="zh-CN"/>
              </w:rPr>
              <w:t>1、项目背景</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 w:val="0"/>
                <w:bCs/>
                <w:color w:val="auto"/>
                <w:sz w:val="24"/>
                <w:lang w:val="en-US" w:eastAsia="zh-CN"/>
              </w:rPr>
            </w:pPr>
            <w:r>
              <w:rPr>
                <w:rFonts w:hint="eastAsia"/>
                <w:b w:val="0"/>
                <w:bCs/>
                <w:color w:val="auto"/>
                <w:sz w:val="24"/>
                <w:lang w:val="en-US" w:eastAsia="zh-CN"/>
              </w:rPr>
              <w:t>为实现</w:t>
            </w:r>
            <w:r>
              <w:rPr>
                <w:rFonts w:hint="eastAsia"/>
                <w:b w:val="0"/>
                <w:bCs/>
                <w:color w:val="auto"/>
                <w:sz w:val="24"/>
              </w:rPr>
              <w:t>区域建立布局合理、功能完善、生态文明的殡葬服务体系，实现殡葬公共服务覆盖全体城乡居民，实现殡葬习俗文明化和殡葬设施现代化</w:t>
            </w:r>
            <w:r>
              <w:rPr>
                <w:rFonts w:hint="eastAsia"/>
                <w:b w:val="0"/>
                <w:bCs/>
                <w:color w:val="auto"/>
                <w:sz w:val="24"/>
                <w:lang w:eastAsia="zh-CN"/>
              </w:rPr>
              <w:t>；</w:t>
            </w:r>
            <w:r>
              <w:rPr>
                <w:rFonts w:hint="eastAsia"/>
                <w:b w:val="0"/>
                <w:bCs/>
                <w:color w:val="auto"/>
                <w:sz w:val="24"/>
                <w:lang w:val="en-US" w:eastAsia="zh-CN"/>
              </w:rPr>
              <w:t>五台县民政局根据上级文件于2021年6月提出建设“</w:t>
            </w:r>
            <w:r>
              <w:rPr>
                <w:rFonts w:hint="eastAsia"/>
                <w:bCs/>
                <w:color w:val="auto"/>
                <w:sz w:val="24"/>
              </w:rPr>
              <w:t>五台县殡仪馆项目</w:t>
            </w:r>
            <w:r>
              <w:rPr>
                <w:rFonts w:hint="eastAsia"/>
                <w:b w:val="0"/>
                <w:bCs/>
                <w:color w:val="auto"/>
                <w:sz w:val="24"/>
                <w:lang w:val="en-US" w:eastAsia="zh-CN"/>
              </w:rPr>
              <w:t>”，该项目原选址于五台县茹村乡东茹村恶山坪，该项目可行性研究报告（代项目建议书）于2021年6月7日由五台县行政审批服务管理局以五审管函[2021]72号文件予以批复，该项目环境影响报告表于2021年7月28日由五台县行政审批服务管理局以五审管函[2021]94号文予以批复；因考虑到对区域耕地的影响，后续土地征用手续未办理完成。五台县民政局于2022年1月对“</w:t>
            </w:r>
            <w:r>
              <w:rPr>
                <w:rFonts w:hint="eastAsia"/>
                <w:bCs/>
                <w:color w:val="auto"/>
                <w:sz w:val="24"/>
              </w:rPr>
              <w:t>五台县殡仪馆项目</w:t>
            </w:r>
            <w:r>
              <w:rPr>
                <w:rFonts w:hint="eastAsia"/>
                <w:b w:val="0"/>
                <w:bCs/>
                <w:color w:val="auto"/>
                <w:sz w:val="24"/>
                <w:lang w:val="en-US" w:eastAsia="zh-CN"/>
              </w:rPr>
              <w:t>”选址进行了变更，变更后选址于</w:t>
            </w:r>
            <w:r>
              <w:rPr>
                <w:rFonts w:hint="eastAsia"/>
                <w:b w:val="0"/>
                <w:bCs/>
                <w:color w:val="auto"/>
                <w:sz w:val="24"/>
              </w:rPr>
              <w:t>五台县沟南乡南山村</w:t>
            </w:r>
            <w:r>
              <w:rPr>
                <w:rFonts w:hint="eastAsia"/>
                <w:b w:val="0"/>
                <w:bCs/>
                <w:color w:val="auto"/>
                <w:sz w:val="24"/>
                <w:lang w:eastAsia="zh-CN"/>
              </w:rPr>
              <w:t>，</w:t>
            </w:r>
            <w:r>
              <w:rPr>
                <w:rFonts w:hint="eastAsia"/>
                <w:b w:val="0"/>
                <w:bCs/>
                <w:color w:val="auto"/>
                <w:sz w:val="24"/>
                <w:lang w:val="en-US" w:eastAsia="zh-CN"/>
              </w:rPr>
              <w:t>土地利用现状为其他草地，后续土地用途变更为殡葬用地。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 w:val="0"/>
                <w:bCs/>
                <w:color w:val="auto"/>
                <w:sz w:val="24"/>
              </w:rPr>
            </w:pPr>
            <w:r>
              <w:rPr>
                <w:rFonts w:hint="eastAsia"/>
                <w:b w:val="0"/>
                <w:bCs/>
                <w:color w:val="auto"/>
                <w:sz w:val="24"/>
                <w:lang w:val="en-US" w:eastAsia="zh-CN"/>
              </w:rPr>
              <w:t>根据《污染影响类建设项目重大变动清单（试行）》（环办环评函[2020]688号），项目重新选址属于重大变动，应重新报批环评报告；项目选址变更后，五台县行政审批服务管理局于2022年2月25日对变更后的可行性研究报告（代项目建议书）以五审管函[2022]8号文件予以批复，于2022年3月16日对变更后的初步设计以五审管函[2022]14号文件予以批复；根据重新选址后的《可行性研究报告》、《初步设计》及其批复文件，环评单位重新编制了《</w:t>
            </w:r>
            <w:r>
              <w:rPr>
                <w:rFonts w:hint="eastAsia"/>
                <w:color w:val="auto"/>
                <w:sz w:val="24"/>
                <w:szCs w:val="24"/>
              </w:rPr>
              <w:t>五台县殡仪馆项目</w:t>
            </w:r>
            <w:r>
              <w:rPr>
                <w:rFonts w:hint="eastAsia"/>
                <w:color w:val="auto"/>
                <w:sz w:val="24"/>
                <w:szCs w:val="24"/>
                <w:lang w:val="en-US" w:eastAsia="zh-CN"/>
              </w:rPr>
              <w:t>环评影响报告表</w:t>
            </w:r>
            <w:r>
              <w:rPr>
                <w:rFonts w:hint="eastAsia"/>
                <w:b w:val="0"/>
                <w:bCs/>
                <w:color w:val="auto"/>
                <w:sz w:val="24"/>
                <w:lang w:val="en-US" w:eastAsia="zh-CN"/>
              </w:rPr>
              <w:t>》；本次环评文件重新报批后，原环评批复（五审管函[2021]94号）同时废止。</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lang w:val="en-US" w:eastAsia="zh-CN"/>
              </w:rPr>
              <w:t>2</w:t>
            </w:r>
            <w:r>
              <w:rPr>
                <w:rFonts w:hint="eastAsia"/>
                <w:b/>
                <w:color w:val="auto"/>
                <w:sz w:val="24"/>
              </w:rPr>
              <w:t>、项目概况</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项目名称：</w:t>
            </w:r>
            <w:bookmarkStart w:id="2" w:name="_Hlk77254574"/>
            <w:r>
              <w:rPr>
                <w:rFonts w:hint="eastAsia"/>
                <w:bCs/>
                <w:color w:val="auto"/>
                <w:sz w:val="24"/>
              </w:rPr>
              <w:t>五台县殡仪馆项目</w:t>
            </w:r>
            <w:bookmarkEnd w:id="2"/>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项目代码：</w:t>
            </w:r>
            <w:r>
              <w:rPr>
                <w:rFonts w:hint="eastAsia"/>
                <w:bCs/>
                <w:color w:val="auto"/>
                <w:sz w:val="24"/>
                <w:lang w:val="en-US" w:eastAsia="zh-CN"/>
              </w:rPr>
              <w:t>2202-140922-89-01-190178</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建设单位：</w:t>
            </w:r>
            <w:bookmarkStart w:id="3" w:name="_Hlk77254638"/>
            <w:r>
              <w:rPr>
                <w:rFonts w:hint="eastAsia"/>
                <w:bCs/>
                <w:color w:val="auto"/>
                <w:sz w:val="24"/>
              </w:rPr>
              <w:t>五台县民政局</w:t>
            </w:r>
            <w:bookmarkEnd w:id="3"/>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建设性质：</w:t>
            </w:r>
            <w:r>
              <w:rPr>
                <w:rFonts w:hint="eastAsia"/>
                <w:bCs/>
                <w:color w:val="auto"/>
                <w:sz w:val="24"/>
              </w:rPr>
              <w:t>新建；</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lang w:val="en-US" w:eastAsia="zh-CN"/>
              </w:rPr>
            </w:pPr>
            <w:r>
              <w:rPr>
                <w:rFonts w:hint="eastAsia"/>
                <w:b/>
                <w:color w:val="auto"/>
                <w:sz w:val="24"/>
              </w:rPr>
              <w:t>建设地点：</w:t>
            </w:r>
            <w:r>
              <w:rPr>
                <w:rFonts w:hint="eastAsia"/>
                <w:b w:val="0"/>
                <w:bCs/>
                <w:color w:val="auto"/>
                <w:sz w:val="24"/>
                <w:lang w:val="en-US" w:eastAsia="zh-CN"/>
              </w:rPr>
              <w:t>本项目拟建场址位于</w:t>
            </w:r>
            <w:r>
              <w:rPr>
                <w:rFonts w:hint="eastAsia"/>
                <w:b w:val="0"/>
                <w:bCs/>
                <w:color w:val="auto"/>
                <w:sz w:val="24"/>
              </w:rPr>
              <w:t>山西省忻州市五台县沟南乡南山村，</w:t>
            </w:r>
            <w:r>
              <w:rPr>
                <w:rFonts w:hint="eastAsia" w:cs="Times New Roman"/>
                <w:color w:val="auto"/>
                <w:kern w:val="0"/>
                <w:sz w:val="24"/>
                <w:szCs w:val="24"/>
                <w:lang w:val="en-US" w:eastAsia="zh-CN"/>
              </w:rPr>
              <w:t>沟南乡南山村因水电路不通，1995年已成空壳村，属于自然移民，已全部移民至北侧约2400m的松台村；距本项目拟建场址最近的居住区为距场址东南侧约1450m的黑虎岔村；</w:t>
            </w:r>
            <w:r>
              <w:rPr>
                <w:rFonts w:hint="eastAsia"/>
                <w:b w:val="0"/>
                <w:bCs/>
                <w:color w:val="auto"/>
                <w:sz w:val="24"/>
                <w:lang w:val="en-US" w:eastAsia="zh-CN"/>
              </w:rPr>
              <w:t>本项目拟建场址</w:t>
            </w:r>
            <w:r>
              <w:rPr>
                <w:rFonts w:hint="eastAsia"/>
                <w:color w:val="auto"/>
                <w:sz w:val="24"/>
              </w:rPr>
              <w:t>位于</w:t>
            </w:r>
            <w:r>
              <w:rPr>
                <w:rFonts w:hint="eastAsia"/>
                <w:bCs/>
                <w:color w:val="auto"/>
                <w:sz w:val="24"/>
              </w:rPr>
              <w:t>五台县中心城区边界、建成区边界</w:t>
            </w:r>
            <w:r>
              <w:rPr>
                <w:rFonts w:hint="eastAsia"/>
                <w:bCs/>
                <w:color w:val="auto"/>
                <w:sz w:val="24"/>
                <w:lang w:val="en-US" w:eastAsia="zh-CN"/>
              </w:rPr>
              <w:t>南</w:t>
            </w:r>
            <w:r>
              <w:rPr>
                <w:rFonts w:hint="eastAsia"/>
                <w:bCs/>
                <w:color w:val="auto"/>
                <w:sz w:val="24"/>
              </w:rPr>
              <w:t>侧约</w:t>
            </w:r>
            <w:r>
              <w:rPr>
                <w:rFonts w:hint="eastAsia"/>
                <w:bCs/>
                <w:color w:val="auto"/>
                <w:sz w:val="24"/>
                <w:lang w:val="en-US" w:eastAsia="zh-CN"/>
              </w:rPr>
              <w:t>5.3</w:t>
            </w:r>
            <w:r>
              <w:rPr>
                <w:rFonts w:hint="eastAsia"/>
                <w:bCs/>
                <w:color w:val="auto"/>
                <w:sz w:val="24"/>
              </w:rPr>
              <w:t>km处；</w:t>
            </w:r>
            <w:r>
              <w:rPr>
                <w:rFonts w:hint="eastAsia"/>
                <w:bCs/>
                <w:color w:val="auto"/>
                <w:sz w:val="24"/>
                <w:lang w:val="en-US" w:eastAsia="zh-CN"/>
              </w:rPr>
              <w:t>项目</w:t>
            </w:r>
            <w:r>
              <w:rPr>
                <w:rFonts w:hint="eastAsia"/>
                <w:color w:val="auto"/>
                <w:sz w:val="24"/>
              </w:rPr>
              <w:t>占地面积</w:t>
            </w:r>
            <w:r>
              <w:rPr>
                <w:rFonts w:hint="eastAsia"/>
                <w:color w:val="auto"/>
                <w:sz w:val="24"/>
                <w:lang w:val="en-US" w:eastAsia="zh-CN"/>
              </w:rPr>
              <w:t>23123</w:t>
            </w:r>
            <w:r>
              <w:rPr>
                <w:rFonts w:hint="eastAsia"/>
                <w:color w:val="auto"/>
                <w:sz w:val="24"/>
              </w:rPr>
              <w:t>m</w:t>
            </w:r>
            <w:r>
              <w:rPr>
                <w:rFonts w:hint="eastAsia"/>
                <w:color w:val="auto"/>
                <w:sz w:val="24"/>
                <w:vertAlign w:val="superscript"/>
              </w:rPr>
              <w:t>2</w:t>
            </w:r>
            <w:r>
              <w:rPr>
                <w:rFonts w:hint="eastAsia"/>
                <w:color w:val="auto"/>
                <w:sz w:val="24"/>
              </w:rPr>
              <w:t>，</w:t>
            </w:r>
            <w:r>
              <w:rPr>
                <w:rFonts w:hint="eastAsia"/>
                <w:color w:val="auto"/>
                <w:sz w:val="24"/>
                <w:lang w:val="en-US" w:eastAsia="zh-CN"/>
              </w:rPr>
              <w:t>场址</w:t>
            </w:r>
            <w:r>
              <w:rPr>
                <w:rFonts w:hint="eastAsia"/>
                <w:color w:val="auto"/>
                <w:sz w:val="24"/>
              </w:rPr>
              <w:t>中心点坐标为</w:t>
            </w:r>
            <w:r>
              <w:rPr>
                <w:rFonts w:hint="default" w:ascii="Times New Roman" w:hAnsi="Times New Roman" w:cs="Times New Roman"/>
                <w:color w:val="auto"/>
                <w:sz w:val="24"/>
              </w:rPr>
              <w:t>E</w:t>
            </w:r>
            <w:r>
              <w:rPr>
                <w:rFonts w:hint="default" w:ascii="Times New Roman" w:hAnsi="Times New Roman" w:cs="Times New Roman"/>
                <w:color w:val="auto"/>
                <w:sz w:val="24"/>
                <w:szCs w:val="32"/>
              </w:rPr>
              <w:t xml:space="preserve"> </w:t>
            </w:r>
            <w:r>
              <w:rPr>
                <w:rFonts w:hint="default" w:ascii="Times New Roman" w:hAnsi="Times New Roman" w:cs="Times New Roman"/>
                <w:color w:val="auto"/>
                <w:sz w:val="24"/>
              </w:rPr>
              <w:t>113°</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′15.505″，N</w:t>
            </w:r>
            <w:r>
              <w:rPr>
                <w:rFonts w:hint="default" w:ascii="Times New Roman" w:hAnsi="Times New Roman" w:cs="Times New Roman"/>
                <w:color w:val="auto"/>
                <w:sz w:val="24"/>
                <w:szCs w:val="32"/>
              </w:rPr>
              <w:t xml:space="preserve"> </w:t>
            </w:r>
            <w:r>
              <w:rPr>
                <w:rFonts w:hint="default" w:ascii="Times New Roman" w:hAnsi="Times New Roman" w:cs="Times New Roman"/>
                <w:color w:val="auto"/>
                <w:sz w:val="24"/>
              </w:rPr>
              <w:t>38°</w:t>
            </w:r>
            <w:r>
              <w:rPr>
                <w:rFonts w:hint="default" w:ascii="Times New Roman" w:hAnsi="Times New Roman" w:cs="Times New Roman"/>
                <w:color w:val="auto"/>
                <w:sz w:val="24"/>
                <w:lang w:val="en-US" w:eastAsia="zh-CN"/>
              </w:rPr>
              <w:t>39</w:t>
            </w:r>
            <w:r>
              <w:rPr>
                <w:rFonts w:hint="default" w:ascii="Times New Roman" w:hAnsi="Times New Roman" w:cs="Times New Roman"/>
                <w:color w:val="auto"/>
                <w:sz w:val="24"/>
              </w:rPr>
              <w:t>′29.883″</w:t>
            </w:r>
            <w:r>
              <w:rPr>
                <w:rFonts w:hint="eastAsia"/>
                <w:color w:val="auto"/>
                <w:sz w:val="24"/>
              </w:rPr>
              <w:t>；</w:t>
            </w:r>
            <w:r>
              <w:rPr>
                <w:rFonts w:hint="eastAsia"/>
                <w:color w:val="auto"/>
                <w:sz w:val="24"/>
                <w:lang w:val="en-US" w:eastAsia="zh-CN"/>
              </w:rPr>
              <w:t>项目占地范围土地利用现状为其他草地，后续将变更为殡葬用地；五台县自然资源局于2022年1月27日对本项目用地预审与规划选址进行了公示（见附件）；五台县人民政府于2022年3月10日以五政土地[2022]4号文对本项目用地进行批复（见附件）；五台县行政审批服务管理局于2022年3月17日对本项目核发了建设用地规划许可证；本项目的建设符合五台县的国土空间利用规划。</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auto"/>
                <w:sz w:val="24"/>
                <w:lang w:val="en-US" w:eastAsia="zh-CN"/>
              </w:rPr>
            </w:pPr>
            <w:r>
              <w:rPr>
                <w:rFonts w:hint="eastAsia"/>
                <w:color w:val="auto"/>
                <w:sz w:val="24"/>
                <w:lang w:val="en-US" w:eastAsia="zh-CN"/>
              </w:rPr>
              <w:t>殡仪馆连接道路由市政立项实施，不在本项目建设内容范围内；配套墓地位于殡仪馆拟建场址东南侧约130m处，由市政另立项实施，不在本项目建设内容范围内。</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项目地理位置见附图1，四邻关系见附图2。</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项目设计服务能力：</w:t>
            </w:r>
            <w:r>
              <w:rPr>
                <w:rFonts w:hint="eastAsia"/>
                <w:color w:val="auto"/>
                <w:sz w:val="24"/>
              </w:rPr>
              <w:t>根据五台县第七次全国人口普查公报，五台县常住人口216178人，根据《山西省殡葬基础设施建设指南》，常住人口11-28万以内，殡仪馆以五类馆标准建设，其中火化机配置2-3台。本项目拟设置3台燃油火化机，</w:t>
            </w:r>
            <w:r>
              <w:rPr>
                <w:rFonts w:hint="eastAsia"/>
                <w:bCs/>
                <w:color w:val="auto"/>
                <w:sz w:val="24"/>
              </w:rPr>
              <w:t>年最大服务能力为火化2190具遗体，每台火化机以每日火化两具遗体计。</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bCs/>
                <w:color w:val="auto"/>
                <w:sz w:val="24"/>
              </w:rPr>
              <w:t>根据五台县2018年统计公报，2018年末全县死亡人口2130人，死亡率为6.94‰；根据五台县2019年统计公报，2019年全县死亡人口2124人，死亡率为6.92‰。本项目火化机配置可以满足全县死亡人员遗体火化需求。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工作制度：</w:t>
            </w:r>
            <w:r>
              <w:rPr>
                <w:rFonts w:hint="eastAsia"/>
                <w:color w:val="auto"/>
                <w:sz w:val="24"/>
              </w:rPr>
              <w:t>目前五台县尚未定编县级殡仪馆定员，环评时项目运营期暂拟按工作人员30人计算产排污量；本项目全年运营365天，每天24小时值班。</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项目投资：</w:t>
            </w:r>
            <w:r>
              <w:rPr>
                <w:rFonts w:hint="eastAsia"/>
                <w:b w:val="0"/>
                <w:bCs w:val="0"/>
                <w:color w:val="auto"/>
                <w:sz w:val="24"/>
                <w:lang w:val="en-US" w:eastAsia="zh-CN"/>
              </w:rPr>
              <w:t>根据项目初步设计及其批复，</w:t>
            </w:r>
            <w:r>
              <w:rPr>
                <w:rFonts w:hint="eastAsia"/>
                <w:color w:val="auto"/>
                <w:sz w:val="24"/>
              </w:rPr>
              <w:t>本项目总投资</w:t>
            </w:r>
            <w:r>
              <w:rPr>
                <w:rFonts w:hint="eastAsia"/>
                <w:color w:val="auto"/>
                <w:sz w:val="24"/>
                <w:lang w:val="en-US" w:eastAsia="zh-CN"/>
              </w:rPr>
              <w:t>3762.88</w:t>
            </w:r>
            <w:r>
              <w:rPr>
                <w:rFonts w:hint="eastAsia"/>
                <w:color w:val="auto"/>
                <w:sz w:val="24"/>
              </w:rPr>
              <w:t>万元，其中建设工程费用</w:t>
            </w:r>
            <w:r>
              <w:rPr>
                <w:rFonts w:hint="eastAsia"/>
                <w:color w:val="auto"/>
                <w:sz w:val="24"/>
                <w:lang w:val="en-US" w:eastAsia="zh-CN"/>
              </w:rPr>
              <w:t>2959.08</w:t>
            </w:r>
            <w:r>
              <w:rPr>
                <w:rFonts w:hint="eastAsia"/>
                <w:color w:val="auto"/>
                <w:sz w:val="24"/>
              </w:rPr>
              <w:t>万元，其他费用</w:t>
            </w:r>
            <w:r>
              <w:rPr>
                <w:rFonts w:hint="eastAsia"/>
                <w:color w:val="auto"/>
                <w:sz w:val="24"/>
                <w:lang w:val="en-US" w:eastAsia="zh-CN"/>
              </w:rPr>
              <w:t>525.07</w:t>
            </w:r>
            <w:r>
              <w:rPr>
                <w:rFonts w:hint="eastAsia"/>
                <w:color w:val="auto"/>
                <w:sz w:val="24"/>
              </w:rPr>
              <w:t>万元，预备费</w:t>
            </w:r>
            <w:r>
              <w:rPr>
                <w:rFonts w:hint="eastAsia"/>
                <w:color w:val="auto"/>
                <w:sz w:val="24"/>
                <w:lang w:val="en-US" w:eastAsia="zh-CN"/>
              </w:rPr>
              <w:t>278.73</w:t>
            </w:r>
            <w:r>
              <w:rPr>
                <w:rFonts w:hint="eastAsia"/>
                <w:color w:val="auto"/>
                <w:sz w:val="24"/>
              </w:rPr>
              <w:t>万元；资金来源为县</w:t>
            </w:r>
            <w:r>
              <w:rPr>
                <w:rFonts w:hint="eastAsia"/>
                <w:color w:val="auto"/>
                <w:sz w:val="24"/>
                <w:lang w:val="en-US" w:eastAsia="zh-CN"/>
              </w:rPr>
              <w:t>财政资金</w:t>
            </w:r>
            <w:r>
              <w:rPr>
                <w:rFonts w:hint="eastAsia"/>
                <w:color w:val="auto"/>
                <w:sz w:val="24"/>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2、建设内容</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b w:val="0"/>
                <w:bCs w:val="0"/>
                <w:color w:val="auto"/>
                <w:sz w:val="24"/>
                <w:lang w:val="en-US" w:eastAsia="zh-CN"/>
              </w:rPr>
              <w:t>根据项目初步设计及其批复，</w:t>
            </w:r>
            <w:r>
              <w:rPr>
                <w:rFonts w:hint="eastAsia"/>
                <w:color w:val="auto"/>
                <w:sz w:val="24"/>
              </w:rPr>
              <w:t>五台县殡仪馆项目总用地面积</w:t>
            </w:r>
            <w:r>
              <w:rPr>
                <w:rFonts w:hint="eastAsia"/>
                <w:color w:val="auto"/>
                <w:sz w:val="24"/>
                <w:lang w:val="en-US" w:eastAsia="zh-CN"/>
              </w:rPr>
              <w:t>23123</w:t>
            </w:r>
            <w:r>
              <w:rPr>
                <w:rFonts w:hint="eastAsia"/>
                <w:color w:val="auto"/>
                <w:sz w:val="24"/>
              </w:rPr>
              <w:t>m</w:t>
            </w:r>
            <w:r>
              <w:rPr>
                <w:rFonts w:hint="eastAsia"/>
                <w:color w:val="auto"/>
                <w:sz w:val="24"/>
                <w:vertAlign w:val="superscript"/>
              </w:rPr>
              <w:t>2</w:t>
            </w:r>
            <w:r>
              <w:rPr>
                <w:rFonts w:hint="eastAsia"/>
                <w:color w:val="auto"/>
                <w:sz w:val="24"/>
              </w:rPr>
              <w:t>（约合</w:t>
            </w:r>
            <w:r>
              <w:rPr>
                <w:rFonts w:hint="eastAsia"/>
                <w:color w:val="auto"/>
                <w:sz w:val="24"/>
                <w:lang w:val="en-US" w:eastAsia="zh-CN"/>
              </w:rPr>
              <w:t>34.68</w:t>
            </w:r>
            <w:r>
              <w:rPr>
                <w:rFonts w:hint="eastAsia"/>
                <w:color w:val="auto"/>
                <w:sz w:val="24"/>
              </w:rPr>
              <w:t>亩），总建筑面积</w:t>
            </w:r>
            <w:r>
              <w:rPr>
                <w:rFonts w:hint="eastAsia"/>
                <w:color w:val="auto"/>
                <w:sz w:val="24"/>
                <w:lang w:val="en-US" w:eastAsia="zh-CN"/>
              </w:rPr>
              <w:t>4732.91</w:t>
            </w:r>
            <w:r>
              <w:rPr>
                <w:rFonts w:hint="eastAsia"/>
                <w:color w:val="auto"/>
                <w:sz w:val="24"/>
              </w:rPr>
              <w:t>m</w:t>
            </w:r>
            <w:r>
              <w:rPr>
                <w:rFonts w:hint="eastAsia"/>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其中地上建筑面积</w:t>
            </w:r>
            <w:r>
              <w:rPr>
                <w:rFonts w:hint="eastAsia"/>
                <w:color w:val="auto"/>
                <w:sz w:val="24"/>
                <w:lang w:val="en-US" w:eastAsia="zh-CN"/>
              </w:rPr>
              <w:t>4637.03</w:t>
            </w:r>
            <w:r>
              <w:rPr>
                <w:rFonts w:hint="eastAsia"/>
                <w:color w:val="auto"/>
                <w:sz w:val="24"/>
              </w:rPr>
              <w:t>m</w:t>
            </w:r>
            <w:r>
              <w:rPr>
                <w:rFonts w:hint="eastAsia"/>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地下建筑面积</w:t>
            </w:r>
            <w:r>
              <w:rPr>
                <w:rFonts w:hint="eastAsia"/>
                <w:color w:val="auto"/>
                <w:sz w:val="24"/>
                <w:lang w:val="en-US" w:eastAsia="zh-CN"/>
              </w:rPr>
              <w:t>95.88</w:t>
            </w:r>
            <w:r>
              <w:rPr>
                <w:rFonts w:hint="eastAsia"/>
                <w:color w:val="auto"/>
                <w:sz w:val="24"/>
              </w:rPr>
              <w:t>m</w:t>
            </w:r>
            <w:r>
              <w:rPr>
                <w:rFonts w:hint="eastAsia"/>
                <w:color w:val="auto"/>
                <w:sz w:val="24"/>
                <w:vertAlign w:val="superscript"/>
              </w:rPr>
              <w:t>2</w:t>
            </w:r>
            <w:r>
              <w:rPr>
                <w:rFonts w:hint="eastAsia"/>
                <w:color w:val="auto"/>
                <w:sz w:val="24"/>
              </w:rPr>
              <w:t>；规划建设包括1栋告别楼</w:t>
            </w:r>
            <w:r>
              <w:rPr>
                <w:rFonts w:hint="eastAsia"/>
                <w:color w:val="auto"/>
                <w:sz w:val="24"/>
                <w:lang w:eastAsia="zh-CN"/>
              </w:rPr>
              <w:t>（</w:t>
            </w:r>
            <w:r>
              <w:rPr>
                <w:rFonts w:hint="eastAsia"/>
                <w:color w:val="auto"/>
                <w:sz w:val="24"/>
                <w:lang w:val="en-US" w:eastAsia="zh-CN"/>
              </w:rPr>
              <w:t>包含骨灰寄存室、遗体处理室</w:t>
            </w:r>
            <w:r>
              <w:rPr>
                <w:rFonts w:hint="eastAsia"/>
                <w:color w:val="auto"/>
                <w:sz w:val="24"/>
                <w:lang w:eastAsia="zh-CN"/>
              </w:rPr>
              <w:t>）</w:t>
            </w:r>
            <w:r>
              <w:rPr>
                <w:rFonts w:hint="eastAsia"/>
                <w:color w:val="auto"/>
                <w:sz w:val="24"/>
              </w:rPr>
              <w:t>、1栋后勤管理用房、1栋办公用房、1栋火化间、1栋遗物焚烧间、</w:t>
            </w:r>
            <w:r>
              <w:rPr>
                <w:rFonts w:hint="eastAsia"/>
                <w:color w:val="auto"/>
                <w:sz w:val="24"/>
                <w:lang w:val="en-US" w:eastAsia="zh-CN"/>
              </w:rPr>
              <w:t>1栋门房</w:t>
            </w:r>
            <w:r>
              <w:rPr>
                <w:rFonts w:hint="eastAsia"/>
                <w:color w:val="auto"/>
                <w:sz w:val="24"/>
              </w:rPr>
              <w:t>、1栋</w:t>
            </w:r>
            <w:r>
              <w:rPr>
                <w:rFonts w:hint="eastAsia"/>
                <w:color w:val="auto"/>
                <w:sz w:val="24"/>
                <w:lang w:val="en-US" w:eastAsia="zh-CN"/>
              </w:rPr>
              <w:t>设备用房</w:t>
            </w:r>
            <w:r>
              <w:rPr>
                <w:rFonts w:hint="eastAsia"/>
                <w:color w:val="auto"/>
                <w:sz w:val="24"/>
              </w:rPr>
              <w:t>室</w:t>
            </w:r>
            <w:r>
              <w:rPr>
                <w:rFonts w:hint="eastAsia"/>
                <w:color w:val="auto"/>
                <w:sz w:val="24"/>
                <w:lang w:eastAsia="zh-CN"/>
              </w:rPr>
              <w:t>，</w:t>
            </w:r>
            <w:r>
              <w:rPr>
                <w:rFonts w:hint="eastAsia"/>
                <w:color w:val="auto"/>
                <w:sz w:val="24"/>
                <w:lang w:val="en-US" w:eastAsia="zh-CN"/>
              </w:rPr>
              <w:t>室外</w:t>
            </w:r>
            <w:r>
              <w:rPr>
                <w:rFonts w:hint="eastAsia"/>
                <w:color w:val="auto"/>
                <w:sz w:val="24"/>
              </w:rPr>
              <w:t>厕所、</w:t>
            </w:r>
            <w:r>
              <w:rPr>
                <w:rFonts w:hint="eastAsia"/>
                <w:color w:val="auto"/>
                <w:sz w:val="24"/>
                <w:lang w:val="en-US" w:eastAsia="zh-CN"/>
              </w:rPr>
              <w:t>连廊</w:t>
            </w:r>
            <w:r>
              <w:rPr>
                <w:rFonts w:hint="eastAsia"/>
                <w:color w:val="auto"/>
                <w:sz w:val="24"/>
              </w:rPr>
              <w:t>以及其它附属基础配套设施工程（道路、绿化、供水、供电、排水、暖通、通信等</w:t>
            </w:r>
            <w:r>
              <w:rPr>
                <w:rFonts w:hint="eastAsia"/>
                <w:color w:val="auto"/>
                <w:sz w:val="24"/>
                <w:lang w:val="en-US" w:eastAsia="zh-CN"/>
              </w:rPr>
              <w:t>工程</w:t>
            </w:r>
            <w:r>
              <w:rPr>
                <w:rFonts w:hint="eastAsia"/>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项目主要建设内容见表2-1，主要经济技术一览表见表2-2。</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表2-1  项目主要建设内容一览表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791"/>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类别</w:t>
                  </w: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名称</w:t>
                  </w:r>
                </w:p>
              </w:tc>
              <w:tc>
                <w:tcPr>
                  <w:tcW w:w="3476"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主体工程</w:t>
                  </w: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火化间</w:t>
                  </w:r>
                </w:p>
              </w:tc>
              <w:tc>
                <w:tcPr>
                  <w:tcW w:w="3476" w:type="pct"/>
                  <w:vAlign w:val="center"/>
                </w:tcPr>
                <w:p>
                  <w:pPr>
                    <w:keepNext w:val="0"/>
                    <w:keepLines w:val="0"/>
                    <w:suppressLineNumbers w:val="0"/>
                    <w:spacing w:before="0" w:beforeAutospacing="0" w:after="0" w:afterAutospacing="0" w:line="320" w:lineRule="exact"/>
                    <w:ind w:left="0" w:right="0"/>
                    <w:rPr>
                      <w:rFonts w:hint="eastAsia"/>
                      <w:bCs/>
                      <w:color w:val="auto"/>
                      <w:szCs w:val="21"/>
                    </w:rPr>
                  </w:pPr>
                  <w:r>
                    <w:rPr>
                      <w:rFonts w:hint="eastAsia"/>
                      <w:color w:val="auto"/>
                      <w:szCs w:val="21"/>
                    </w:rPr>
                    <w:t>面积建筑</w:t>
                  </w:r>
                  <w:r>
                    <w:rPr>
                      <w:rFonts w:hint="eastAsia"/>
                      <w:color w:val="auto"/>
                      <w:szCs w:val="21"/>
                      <w:lang w:val="en-US" w:eastAsia="zh-CN"/>
                    </w:rPr>
                    <w:t>432.25</w:t>
                  </w:r>
                  <w:r>
                    <w:rPr>
                      <w:rFonts w:hint="eastAsia"/>
                      <w:color w:val="auto"/>
                      <w:szCs w:val="21"/>
                    </w:rPr>
                    <w:t>m</w:t>
                  </w:r>
                  <w:r>
                    <w:rPr>
                      <w:rFonts w:hint="eastAsia"/>
                      <w:color w:val="auto"/>
                      <w:szCs w:val="21"/>
                      <w:vertAlign w:val="superscript"/>
                    </w:rPr>
                    <w:t>2</w:t>
                  </w:r>
                  <w:r>
                    <w:rPr>
                      <w:rFonts w:hint="eastAsia"/>
                      <w:color w:val="auto"/>
                      <w:szCs w:val="21"/>
                    </w:rPr>
                    <w:t>，1层；内设3台燃油再燃式火化机，配套烟气处理设施。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遗物祭品焚烧间</w:t>
                  </w:r>
                </w:p>
              </w:tc>
              <w:tc>
                <w:tcPr>
                  <w:tcW w:w="3476" w:type="pct"/>
                  <w:vAlign w:val="center"/>
                </w:tcPr>
                <w:p>
                  <w:pPr>
                    <w:keepNext w:val="0"/>
                    <w:keepLines w:val="0"/>
                    <w:suppressLineNumbers w:val="0"/>
                    <w:spacing w:before="0" w:beforeAutospacing="0" w:after="0" w:afterAutospacing="0" w:line="320" w:lineRule="exact"/>
                    <w:ind w:left="0" w:right="0"/>
                    <w:rPr>
                      <w:rFonts w:hint="eastAsia"/>
                      <w:bCs/>
                      <w:color w:val="auto"/>
                      <w:szCs w:val="21"/>
                    </w:rPr>
                  </w:pPr>
                  <w:r>
                    <w:rPr>
                      <w:rFonts w:hint="eastAsia"/>
                      <w:color w:val="auto"/>
                      <w:szCs w:val="21"/>
                    </w:rPr>
                    <w:t>面积建筑</w:t>
                  </w:r>
                  <w:r>
                    <w:rPr>
                      <w:rFonts w:hint="eastAsia"/>
                      <w:color w:val="auto"/>
                      <w:szCs w:val="21"/>
                      <w:lang w:val="en-US" w:eastAsia="zh-CN"/>
                    </w:rPr>
                    <w:t>66.56</w:t>
                  </w:r>
                  <w:r>
                    <w:rPr>
                      <w:rFonts w:hint="eastAsia"/>
                      <w:color w:val="auto"/>
                      <w:szCs w:val="21"/>
                    </w:rPr>
                    <w:t>m</w:t>
                  </w:r>
                  <w:r>
                    <w:rPr>
                      <w:rFonts w:hint="eastAsia"/>
                      <w:color w:val="auto"/>
                      <w:szCs w:val="21"/>
                      <w:vertAlign w:val="superscript"/>
                    </w:rPr>
                    <w:t>2</w:t>
                  </w:r>
                  <w:r>
                    <w:rPr>
                      <w:rFonts w:hint="eastAsia"/>
                      <w:color w:val="auto"/>
                      <w:szCs w:val="21"/>
                    </w:rPr>
                    <w:t>，1层；内设1台遗物祭品焚烧炉，配套烟气处理设施。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告别楼</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szCs w:val="21"/>
                    </w:rPr>
                  </w:pPr>
                  <w:r>
                    <w:rPr>
                      <w:rFonts w:hint="eastAsia"/>
                      <w:color w:val="auto"/>
                      <w:szCs w:val="21"/>
                    </w:rPr>
                    <w:t>建筑面积分别为</w:t>
                  </w:r>
                  <w:r>
                    <w:rPr>
                      <w:rFonts w:hint="eastAsia"/>
                      <w:color w:val="auto"/>
                      <w:szCs w:val="21"/>
                      <w:lang w:val="en-US" w:eastAsia="zh-CN"/>
                    </w:rPr>
                    <w:t>2565.72</w:t>
                  </w:r>
                  <w:r>
                    <w:rPr>
                      <w:rFonts w:hint="eastAsia"/>
                      <w:color w:val="auto"/>
                      <w:szCs w:val="21"/>
                    </w:rPr>
                    <w:t>m</w:t>
                  </w:r>
                  <w:r>
                    <w:rPr>
                      <w:rFonts w:hint="eastAsia"/>
                      <w:color w:val="auto"/>
                      <w:szCs w:val="21"/>
                      <w:vertAlign w:val="superscript"/>
                    </w:rPr>
                    <w:t>2</w:t>
                  </w:r>
                  <w:r>
                    <w:rPr>
                      <w:rFonts w:hint="eastAsia"/>
                      <w:color w:val="auto"/>
                      <w:szCs w:val="21"/>
                    </w:rPr>
                    <w:t>，1层；</w:t>
                  </w:r>
                  <w:r>
                    <w:rPr>
                      <w:rFonts w:hint="eastAsia"/>
                      <w:color w:val="auto"/>
                      <w:szCs w:val="21"/>
                      <w:lang w:val="en-US" w:eastAsia="zh-CN"/>
                    </w:rPr>
                    <w:t>主要为告别厅、灵堂、遗体处理区、骨灰寄存区</w:t>
                  </w:r>
                  <w:r>
                    <w:rPr>
                      <w:rFonts w:hint="eastAsia"/>
                      <w:color w:val="auto"/>
                      <w:szCs w:val="21"/>
                    </w:rPr>
                    <w:t>。</w:t>
                  </w:r>
                </w:p>
                <w:p>
                  <w:pPr>
                    <w:keepNext w:val="0"/>
                    <w:keepLines w:val="0"/>
                    <w:suppressLineNumbers w:val="0"/>
                    <w:spacing w:before="0" w:beforeAutospacing="0" w:after="0" w:afterAutospacing="0" w:line="320" w:lineRule="exact"/>
                    <w:ind w:left="0" w:right="0"/>
                    <w:rPr>
                      <w:rFonts w:hint="eastAsia" w:eastAsia="宋体"/>
                      <w:color w:val="auto"/>
                      <w:szCs w:val="21"/>
                      <w:lang w:val="en-US" w:eastAsia="zh-CN"/>
                    </w:rPr>
                  </w:pPr>
                  <w:r>
                    <w:rPr>
                      <w:rFonts w:hint="eastAsia"/>
                      <w:color w:val="auto"/>
                      <w:szCs w:val="21"/>
                      <w:lang w:val="en-US" w:eastAsia="zh-CN"/>
                    </w:rPr>
                    <w:t>其中</w:t>
                  </w:r>
                  <w:r>
                    <w:rPr>
                      <w:rFonts w:hint="eastAsia"/>
                      <w:color w:val="auto"/>
                    </w:rPr>
                    <w:t>遗体处理用房</w:t>
                  </w:r>
                  <w:r>
                    <w:rPr>
                      <w:rFonts w:hint="eastAsia"/>
                      <w:color w:val="auto"/>
                      <w:szCs w:val="21"/>
                    </w:rPr>
                    <w:t>内设冷冻间、遗体接收间、遗体处置房(含消毒、防腐、整容等)</w:t>
                  </w:r>
                  <w:r>
                    <w:rPr>
                      <w:rFonts w:hint="eastAsia"/>
                      <w:color w:val="auto"/>
                      <w:szCs w:val="21"/>
                      <w:lang w:eastAsia="zh-CN"/>
                    </w:rPr>
                    <w:t>，</w:t>
                  </w:r>
                  <w:r>
                    <w:rPr>
                      <w:rFonts w:hint="eastAsia"/>
                      <w:color w:val="auto"/>
                      <w:szCs w:val="21"/>
                    </w:rPr>
                    <w:t>冷冻间内设置60个遗</w:t>
                  </w:r>
                  <w:r>
                    <w:rPr>
                      <w:rFonts w:hint="eastAsia"/>
                      <w:color w:val="auto"/>
                      <w:kern w:val="0"/>
                      <w:szCs w:val="21"/>
                    </w:rPr>
                    <w:t>体冷藏柜</w:t>
                  </w:r>
                  <w:r>
                    <w:rPr>
                      <w:rFonts w:hint="eastAsia"/>
                      <w:color w:val="auto"/>
                      <w:kern w:val="0"/>
                      <w:szCs w:val="21"/>
                      <w:lang w:eastAsia="zh-CN"/>
                    </w:rPr>
                    <w:t>；</w:t>
                  </w:r>
                  <w:r>
                    <w:rPr>
                      <w:rFonts w:hint="eastAsia"/>
                      <w:color w:val="auto"/>
                      <w:szCs w:val="21"/>
                    </w:rPr>
                    <w:t>骨灰寄存</w:t>
                  </w:r>
                  <w:r>
                    <w:rPr>
                      <w:rFonts w:hint="eastAsia"/>
                      <w:color w:val="auto"/>
                    </w:rPr>
                    <w:t>用房</w:t>
                  </w:r>
                  <w:r>
                    <w:rPr>
                      <w:rFonts w:hint="eastAsia"/>
                      <w:color w:val="auto"/>
                      <w:szCs w:val="21"/>
                    </w:rPr>
                    <w:t>由骨灰寄堂、祭奠厅、管理人员办公用房和洗手间组成</w:t>
                  </w:r>
                  <w:r>
                    <w:rPr>
                      <w:rFonts w:hint="eastAsia"/>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储运工程</w:t>
                  </w:r>
                </w:p>
              </w:tc>
              <w:tc>
                <w:tcPr>
                  <w:tcW w:w="1039" w:type="pct"/>
                  <w:vAlign w:val="center"/>
                </w:tcPr>
                <w:p>
                  <w:pPr>
                    <w:keepNext w:val="0"/>
                    <w:keepLines w:val="0"/>
                    <w:widowControl/>
                    <w:suppressLineNumbers w:val="0"/>
                    <w:spacing w:before="0" w:beforeAutospacing="0" w:after="0" w:afterAutospacing="0" w:line="320" w:lineRule="exact"/>
                    <w:ind w:left="0" w:right="0"/>
                    <w:jc w:val="center"/>
                    <w:rPr>
                      <w:rFonts w:hint="eastAsia"/>
                      <w:color w:val="auto"/>
                    </w:rPr>
                  </w:pPr>
                  <w:r>
                    <w:rPr>
                      <w:rFonts w:hint="eastAsia"/>
                      <w:color w:val="auto"/>
                    </w:rPr>
                    <w:t>轻质柴油储罐</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轻质柴油用于火化机</w:t>
                  </w:r>
                  <w:r>
                    <w:rPr>
                      <w:rFonts w:hint="eastAsia"/>
                      <w:color w:val="auto"/>
                      <w:lang w:val="en-US" w:eastAsia="zh-CN"/>
                    </w:rPr>
                    <w:t>及遗物祭品焚烧炉</w:t>
                  </w:r>
                  <w:r>
                    <w:rPr>
                      <w:rFonts w:hint="eastAsia"/>
                      <w:color w:val="auto"/>
                    </w:rPr>
                    <w:t>；柴油储罐容量为10t，位于火化间的</w:t>
                  </w:r>
                  <w:r>
                    <w:rPr>
                      <w:rFonts w:hint="eastAsia"/>
                      <w:color w:val="auto"/>
                      <w:lang w:val="en-US" w:eastAsia="zh-CN"/>
                    </w:rPr>
                    <w:t>西</w:t>
                  </w:r>
                  <w:r>
                    <w:rPr>
                      <w:rFonts w:hint="eastAsia"/>
                      <w:color w:val="auto"/>
                    </w:rPr>
                    <w:t>侧空地</w:t>
                  </w:r>
                  <w:r>
                    <w:rPr>
                      <w:rFonts w:hint="eastAsia"/>
                      <w:color w:val="auto"/>
                      <w:lang w:eastAsia="zh-CN"/>
                    </w:rPr>
                    <w:t>，</w:t>
                  </w:r>
                  <w:r>
                    <w:rPr>
                      <w:rFonts w:hint="eastAsia"/>
                      <w:color w:val="auto"/>
                      <w:lang w:val="en-US" w:eastAsia="zh-CN"/>
                    </w:rPr>
                    <w:t>为地下储罐，采用钢制强化玻璃纤维制双层结构，内层采用6mm厚的特种钢板制造，外层采用4mm厚的强化玻璃纤维层，同时储罐安装有24h在线检漏设施</w:t>
                  </w:r>
                  <w:r>
                    <w:rPr>
                      <w:rFonts w:hint="eastAsia"/>
                      <w:color w:val="auto"/>
                      <w:lang w:eastAsia="zh-CN"/>
                    </w:rPr>
                    <w:t>、</w:t>
                  </w:r>
                  <w:r>
                    <w:rPr>
                      <w:rFonts w:hint="eastAsia"/>
                      <w:color w:val="auto"/>
                    </w:rPr>
                    <w:t>机械呼吸阀和阻火器。柴油储罐呼吸阀是指既保证贮罐空间在一定压力范围内与大气隔绝、又能在超过或低于此压力范围时与大气相通(呼吸)的一种阀门</w:t>
                  </w:r>
                  <w:r>
                    <w:rPr>
                      <w:rFonts w:hint="eastAsia"/>
                      <w:color w:val="auto"/>
                      <w:lang w:eastAsia="zh-CN"/>
                    </w:rPr>
                    <w:t>；</w:t>
                  </w:r>
                  <w:r>
                    <w:rPr>
                      <w:rFonts w:hint="eastAsia"/>
                      <w:color w:val="auto"/>
                    </w:rPr>
                    <w:t>其作用是防止贮罐因超压或真空导致破坏，同时可减少贮液的蒸发损失。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辅助工程</w:t>
                  </w: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lang w:val="en-US" w:eastAsia="zh-CN"/>
                    </w:rPr>
                    <w:t>办公</w:t>
                  </w:r>
                  <w:r>
                    <w:rPr>
                      <w:rFonts w:hint="eastAsia"/>
                      <w:color w:val="auto"/>
                      <w:szCs w:val="21"/>
                    </w:rPr>
                    <w:t>用房</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建筑面积</w:t>
                  </w:r>
                  <w:r>
                    <w:rPr>
                      <w:rFonts w:hint="eastAsia"/>
                      <w:color w:val="auto"/>
                      <w:szCs w:val="21"/>
                      <w:lang w:val="en-US" w:eastAsia="zh-CN"/>
                    </w:rPr>
                    <w:t>664.77</w:t>
                  </w:r>
                  <w:r>
                    <w:rPr>
                      <w:rFonts w:hint="eastAsia"/>
                      <w:color w:val="auto"/>
                      <w:szCs w:val="21"/>
                    </w:rPr>
                    <w:t>m</w:t>
                  </w:r>
                  <w:r>
                    <w:rPr>
                      <w:rFonts w:hint="eastAsia"/>
                      <w:color w:val="auto"/>
                      <w:szCs w:val="21"/>
                      <w:vertAlign w:val="superscript"/>
                    </w:rPr>
                    <w:t>2</w:t>
                  </w:r>
                  <w:r>
                    <w:rPr>
                      <w:rFonts w:hint="eastAsia"/>
                      <w:color w:val="auto"/>
                      <w:szCs w:val="21"/>
                    </w:rPr>
                    <w:t>，2层；内有业务大厅、丧葬用品销售、挽联书写、值班室、洗手间、办公室等功能区组成。本项目不提供餐饮服务。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后勤管理用房</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建筑面积</w:t>
                  </w:r>
                  <w:r>
                    <w:rPr>
                      <w:rFonts w:hint="eastAsia"/>
                      <w:color w:val="auto"/>
                      <w:szCs w:val="21"/>
                      <w:lang w:val="en-US" w:eastAsia="zh-CN"/>
                    </w:rPr>
                    <w:t>664.77</w:t>
                  </w:r>
                  <w:r>
                    <w:rPr>
                      <w:rFonts w:hint="eastAsia"/>
                      <w:color w:val="auto"/>
                      <w:szCs w:val="21"/>
                    </w:rPr>
                    <w:t>m</w:t>
                  </w:r>
                  <w:r>
                    <w:rPr>
                      <w:rFonts w:hint="eastAsia"/>
                      <w:color w:val="auto"/>
                      <w:szCs w:val="21"/>
                      <w:vertAlign w:val="superscript"/>
                    </w:rPr>
                    <w:t>2</w:t>
                  </w:r>
                  <w:r>
                    <w:rPr>
                      <w:rFonts w:hint="eastAsia"/>
                      <w:color w:val="auto"/>
                      <w:szCs w:val="21"/>
                    </w:rPr>
                    <w:t>，2层；主要功能为殡仪馆后勤物资储备用房。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柴油发电机</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szCs w:val="21"/>
                    </w:rPr>
                  </w:pPr>
                  <w:r>
                    <w:rPr>
                      <w:rFonts w:hint="eastAsia"/>
                      <w:color w:val="auto"/>
                      <w:szCs w:val="21"/>
                    </w:rPr>
                    <w:t>本项目自备柴油发电机组作为备用电源，采用150kV柴油发电机，柴油发电机位于火化间内。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车库</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szCs w:val="21"/>
                    </w:rPr>
                  </w:pPr>
                  <w:r>
                    <w:rPr>
                      <w:rFonts w:hint="eastAsia"/>
                      <w:color w:val="auto"/>
                      <w:szCs w:val="21"/>
                    </w:rPr>
                    <w:t>建筑面积69.96m</w:t>
                  </w:r>
                  <w:r>
                    <w:rPr>
                      <w:rFonts w:hint="eastAsia"/>
                      <w:color w:val="auto"/>
                      <w:szCs w:val="21"/>
                      <w:vertAlign w:val="superscript"/>
                    </w:rPr>
                    <w:t>2</w:t>
                  </w:r>
                  <w:r>
                    <w:rPr>
                      <w:rFonts w:hint="eastAsia"/>
                      <w:color w:val="auto"/>
                      <w:szCs w:val="21"/>
                    </w:rPr>
                    <w:t>，1层；用于停放专用殡仪车辆，停车位5个。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rPr>
                    <w:t>停车场</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共设有</w:t>
                  </w:r>
                  <w:r>
                    <w:rPr>
                      <w:rFonts w:hint="eastAsia"/>
                      <w:color w:val="auto"/>
                      <w:szCs w:val="21"/>
                      <w:lang w:val="en-US" w:eastAsia="zh-CN"/>
                    </w:rPr>
                    <w:t>53</w:t>
                  </w:r>
                  <w:r>
                    <w:rPr>
                      <w:rFonts w:hint="eastAsia"/>
                      <w:color w:val="auto"/>
                      <w:szCs w:val="21"/>
                    </w:rPr>
                    <w:t>个停车位</w:t>
                  </w:r>
                  <w:r>
                    <w:rPr>
                      <w:rFonts w:hint="eastAsia"/>
                      <w:color w:val="auto"/>
                      <w:szCs w:val="21"/>
                      <w:lang w:eastAsia="zh-CN"/>
                    </w:rPr>
                    <w:t>，</w:t>
                  </w:r>
                  <w:r>
                    <w:rPr>
                      <w:rFonts w:hint="eastAsia"/>
                      <w:color w:val="auto"/>
                      <w:szCs w:val="21"/>
                      <w:lang w:val="en-US" w:eastAsia="zh-CN"/>
                    </w:rPr>
                    <w:t>小车停车位50个，大车停车位3个</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default" w:eastAsia="宋体"/>
                      <w:color w:val="auto"/>
                      <w:szCs w:val="21"/>
                      <w:lang w:val="en-US" w:eastAsia="zh-CN"/>
                    </w:rPr>
                  </w:pPr>
                  <w:r>
                    <w:rPr>
                      <w:rFonts w:hint="eastAsia"/>
                      <w:color w:val="auto"/>
                      <w:szCs w:val="21"/>
                      <w:lang w:val="en-US" w:eastAsia="zh-CN"/>
                    </w:rPr>
                    <w:t>设备用房</w:t>
                  </w:r>
                </w:p>
              </w:tc>
              <w:tc>
                <w:tcPr>
                  <w:tcW w:w="3476" w:type="pct"/>
                  <w:vAlign w:val="center"/>
                </w:tcPr>
                <w:p>
                  <w:pPr>
                    <w:keepNext w:val="0"/>
                    <w:keepLines w:val="0"/>
                    <w:suppressLineNumbers w:val="0"/>
                    <w:spacing w:before="0" w:beforeAutospacing="0" w:after="0" w:afterAutospacing="0" w:line="320" w:lineRule="exact"/>
                    <w:ind w:left="0" w:right="0"/>
                    <w:rPr>
                      <w:rFonts w:hint="eastAsia" w:eastAsia="宋体"/>
                      <w:color w:val="auto"/>
                      <w:szCs w:val="21"/>
                      <w:vertAlign w:val="baseline"/>
                      <w:lang w:val="en-US" w:eastAsia="zh-CN"/>
                    </w:rPr>
                  </w:pPr>
                  <w:r>
                    <w:rPr>
                      <w:rFonts w:hint="eastAsia"/>
                      <w:color w:val="auto"/>
                      <w:szCs w:val="21"/>
                    </w:rPr>
                    <w:t>建筑面积</w:t>
                  </w:r>
                  <w:r>
                    <w:rPr>
                      <w:rFonts w:hint="eastAsia"/>
                      <w:color w:val="auto"/>
                      <w:szCs w:val="21"/>
                      <w:lang w:val="en-US" w:eastAsia="zh-CN"/>
                    </w:rPr>
                    <w:t>145.86</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为室外消防水泵房，地上49.98</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地下95.88</w:t>
                  </w:r>
                  <w:r>
                    <w:rPr>
                      <w:rFonts w:hint="eastAsia"/>
                      <w:color w:val="auto"/>
                      <w:szCs w:val="21"/>
                    </w:rPr>
                    <w:t>m</w:t>
                  </w:r>
                  <w:r>
                    <w:rPr>
                      <w:rFonts w:hint="eastAsia"/>
                      <w:color w:val="auto"/>
                      <w:szCs w:val="21"/>
                      <w:vertAlign w:val="superscript"/>
                    </w:rPr>
                    <w:t>2</w:t>
                  </w:r>
                  <w:r>
                    <w:rPr>
                      <w:rFonts w:hint="eastAsia"/>
                      <w:color w:val="auto"/>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室外厕所</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建筑面积</w:t>
                  </w:r>
                  <w:r>
                    <w:rPr>
                      <w:rFonts w:hint="eastAsia"/>
                      <w:color w:val="auto"/>
                      <w:szCs w:val="21"/>
                      <w:lang w:val="en-US" w:eastAsia="zh-CN"/>
                    </w:rPr>
                    <w:t>60.75</w:t>
                  </w:r>
                  <w:r>
                    <w:rPr>
                      <w:rFonts w:hint="eastAsia"/>
                      <w:color w:val="auto"/>
                      <w:szCs w:val="21"/>
                    </w:rPr>
                    <w:t>m</w:t>
                  </w:r>
                  <w:r>
                    <w:rPr>
                      <w:rFonts w:hint="eastAsia"/>
                      <w:color w:val="auto"/>
                      <w:szCs w:val="21"/>
                      <w:vertAlign w:val="superscript"/>
                    </w:rPr>
                    <w:t>2</w:t>
                  </w:r>
                  <w:r>
                    <w:rPr>
                      <w:rFonts w:hint="eastAsia"/>
                      <w:color w:val="auto"/>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门卫</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建筑面积</w:t>
                  </w:r>
                  <w:r>
                    <w:rPr>
                      <w:rFonts w:hint="eastAsia"/>
                      <w:color w:val="auto"/>
                      <w:szCs w:val="21"/>
                      <w:lang w:val="en-US" w:eastAsia="zh-CN"/>
                    </w:rPr>
                    <w:t>65.59</w:t>
                  </w:r>
                  <w:r>
                    <w:rPr>
                      <w:rFonts w:hint="eastAsia"/>
                      <w:color w:val="auto"/>
                      <w:szCs w:val="21"/>
                    </w:rPr>
                    <w:t>m</w:t>
                  </w:r>
                  <w:r>
                    <w:rPr>
                      <w:rFonts w:hint="eastAsia"/>
                      <w:color w:val="auto"/>
                      <w:szCs w:val="21"/>
                      <w:vertAlign w:val="superscript"/>
                    </w:rPr>
                    <w:t>2</w:t>
                  </w:r>
                  <w:r>
                    <w:rPr>
                      <w:rFonts w:hint="eastAsia"/>
                      <w:color w:val="auto"/>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eastAsia="宋体"/>
                      <w:color w:val="auto"/>
                      <w:lang w:val="en-US" w:eastAsia="zh-CN"/>
                    </w:rPr>
                  </w:pPr>
                  <w:r>
                    <w:rPr>
                      <w:rFonts w:hint="eastAsia"/>
                      <w:color w:val="auto"/>
                      <w:lang w:val="en-US" w:eastAsia="zh-CN"/>
                    </w:rPr>
                    <w:t>连廊</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建筑面积</w:t>
                  </w:r>
                  <w:r>
                    <w:rPr>
                      <w:rFonts w:hint="eastAsia"/>
                      <w:color w:val="auto"/>
                      <w:szCs w:val="21"/>
                      <w:lang w:val="en-US" w:eastAsia="zh-CN"/>
                    </w:rPr>
                    <w:t>66.64</w:t>
                  </w:r>
                  <w:r>
                    <w:rPr>
                      <w:rFonts w:hint="eastAsia"/>
                      <w:color w:val="auto"/>
                      <w:szCs w:val="21"/>
                    </w:rPr>
                    <w:t>m</w:t>
                  </w:r>
                  <w:r>
                    <w:rPr>
                      <w:rFonts w:hint="eastAsia"/>
                      <w:color w:val="auto"/>
                      <w:szCs w:val="21"/>
                      <w:vertAlign w:val="superscript"/>
                    </w:rPr>
                    <w:t>2</w:t>
                  </w:r>
                  <w:r>
                    <w:rPr>
                      <w:rFonts w:hint="eastAsia"/>
                      <w:color w:val="auto"/>
                      <w:szCs w:val="21"/>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r>
                    <w:rPr>
                      <w:rFonts w:hint="eastAsia"/>
                      <w:color w:val="auto"/>
                    </w:rPr>
                    <w:t>公用工程</w:t>
                  </w: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rPr>
                    <w:t>给水</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施工水源由地块周</w:t>
                  </w:r>
                  <w:r>
                    <w:rPr>
                      <w:rFonts w:hint="eastAsia"/>
                      <w:color w:val="auto"/>
                      <w:lang w:val="en-US" w:eastAsia="zh-CN"/>
                    </w:rPr>
                    <w:t>边村庄供给</w:t>
                  </w:r>
                  <w:r>
                    <w:rPr>
                      <w:rFonts w:hint="eastAsia"/>
                      <w:color w:val="auto"/>
                    </w:rPr>
                    <w:t>；建成运营后将打井供给。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rPr>
                    <w:t>排水</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bCs/>
                      <w:color w:val="auto"/>
                    </w:rPr>
                    <w:t>建设场地内排水系统采取雨、污水分流制；</w:t>
                  </w:r>
                  <w:r>
                    <w:rPr>
                      <w:rFonts w:hint="eastAsia" w:ascii="宋体" w:cs="宋体"/>
                      <w:color w:val="auto"/>
                      <w:kern w:val="0"/>
                      <w:szCs w:val="21"/>
                    </w:rPr>
                    <w:t>雨水经场区雨水管网排入附近自然冲沟；</w:t>
                  </w:r>
                  <w:r>
                    <w:rPr>
                      <w:rFonts w:hint="eastAsia"/>
                      <w:bCs/>
                      <w:color w:val="auto"/>
                    </w:rPr>
                    <w:t>本项目产生的废水经污水处理站处理后非采暖期可用于道路浇洒及绿化浇灌，采暖期定期由罐车统一抽送至五台县生活污水处理厂。本项目委托污水处理厂罐车进行污水抽送，不自备污水罐车。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rPr>
                    <w:t>供电</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电源由五台县供电局主供电网供给，施工用电由地块周边</w:t>
                  </w:r>
                  <w:r>
                    <w:rPr>
                      <w:rFonts w:hint="eastAsia"/>
                      <w:color w:val="auto"/>
                      <w:lang w:val="en-US" w:eastAsia="zh-CN"/>
                    </w:rPr>
                    <w:t>村庄</w:t>
                  </w:r>
                  <w:r>
                    <w:rPr>
                      <w:rFonts w:hint="eastAsia"/>
                      <w:color w:val="auto"/>
                    </w:rPr>
                    <w:t>接入供给；项目建成运营后拉设直达电源，设2台300kVA干式变压器。同时</w:t>
                  </w:r>
                  <w:r>
                    <w:rPr>
                      <w:rFonts w:hint="eastAsia"/>
                      <w:color w:val="auto"/>
                      <w:szCs w:val="21"/>
                    </w:rPr>
                    <w:t>自备柴油发电机组作为备用电源，采用150kV柴油发电机，柴油发电机位于火化间内。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供暖</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color w:val="auto"/>
                    </w:rPr>
                    <w:t>供暖采用空气源热泵供给。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环保工程</w:t>
                  </w: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火化机废气</w:t>
                  </w:r>
                </w:p>
              </w:tc>
              <w:tc>
                <w:tcPr>
                  <w:tcW w:w="3476" w:type="pct"/>
                  <w:vAlign w:val="center"/>
                </w:tcPr>
                <w:p>
                  <w:pPr>
                    <w:pStyle w:val="47"/>
                    <w:keepNext w:val="0"/>
                    <w:keepLines w:val="0"/>
                    <w:suppressLineNumbers w:val="0"/>
                    <w:snapToGrid/>
                    <w:spacing w:before="0" w:beforeAutospacing="0" w:after="0" w:afterAutospacing="0" w:line="240" w:lineRule="auto"/>
                    <w:ind w:left="0" w:right="0" w:firstLine="0" w:firstLineChars="0"/>
                    <w:jc w:val="left"/>
                    <w:rPr>
                      <w:rFonts w:hint="eastAsia"/>
                      <w:color w:val="auto"/>
                      <w:sz w:val="21"/>
                      <w:szCs w:val="21"/>
                    </w:rPr>
                  </w:pPr>
                  <w:r>
                    <w:rPr>
                      <w:rFonts w:hint="eastAsia"/>
                      <w:color w:val="auto"/>
                      <w:sz w:val="21"/>
                      <w:szCs w:val="21"/>
                    </w:rPr>
                    <w:t>3台节能环保火化机分别单独配置一套废气处理设施+1根12m高排气筒；共3套废气处理设施，3根排气筒。</w:t>
                  </w:r>
                </w:p>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烟气净化采用急冷装置+半干法脱硫+活性炭喷射+布袋除尘器+活性炭吸附组合方案。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遗物祭品焚烧炉废气</w:t>
                  </w:r>
                </w:p>
              </w:tc>
              <w:tc>
                <w:tcPr>
                  <w:tcW w:w="3476" w:type="pct"/>
                  <w:vAlign w:val="center"/>
                </w:tcPr>
                <w:p>
                  <w:pPr>
                    <w:pStyle w:val="47"/>
                    <w:keepNext w:val="0"/>
                    <w:keepLines w:val="0"/>
                    <w:suppressLineNumbers w:val="0"/>
                    <w:snapToGrid/>
                    <w:spacing w:before="0" w:beforeAutospacing="0" w:after="0" w:afterAutospacing="0" w:line="240" w:lineRule="auto"/>
                    <w:ind w:left="0" w:right="0" w:firstLine="0" w:firstLineChars="0"/>
                    <w:jc w:val="left"/>
                    <w:rPr>
                      <w:rFonts w:hint="eastAsia"/>
                      <w:color w:val="auto"/>
                      <w:sz w:val="21"/>
                      <w:szCs w:val="21"/>
                    </w:rPr>
                  </w:pPr>
                  <w:r>
                    <w:rPr>
                      <w:rFonts w:hint="eastAsia"/>
                      <w:color w:val="auto"/>
                      <w:sz w:val="21"/>
                      <w:szCs w:val="21"/>
                    </w:rPr>
                    <w:t>遗物祭品焚烧炉单独配置一套废气处理设施+1根12m高排气筒。</w:t>
                  </w:r>
                </w:p>
                <w:p>
                  <w:pPr>
                    <w:keepNext w:val="0"/>
                    <w:keepLines w:val="0"/>
                    <w:suppressLineNumbers w:val="0"/>
                    <w:spacing w:before="0" w:beforeAutospacing="0" w:after="0" w:afterAutospacing="0" w:line="320" w:lineRule="exact"/>
                    <w:ind w:left="0" w:right="0"/>
                    <w:rPr>
                      <w:rFonts w:hint="eastAsia"/>
                      <w:color w:val="auto"/>
                    </w:rPr>
                  </w:pPr>
                  <w:r>
                    <w:rPr>
                      <w:rFonts w:hint="eastAsia"/>
                      <w:color w:val="auto"/>
                      <w:szCs w:val="21"/>
                    </w:rPr>
                    <w:t>烟气净化采用急冷装置+半干法脱硫+活性炭喷射+布袋除尘器+活性炭吸附组合方案。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废水</w:t>
                  </w:r>
                </w:p>
              </w:tc>
              <w:tc>
                <w:tcPr>
                  <w:tcW w:w="3476" w:type="pct"/>
                  <w:vAlign w:val="center"/>
                </w:tcPr>
                <w:p>
                  <w:pPr>
                    <w:keepNext w:val="0"/>
                    <w:keepLines w:val="0"/>
                    <w:suppressLineNumbers w:val="0"/>
                    <w:spacing w:before="0" w:beforeAutospacing="0" w:after="0" w:afterAutospacing="0" w:line="320" w:lineRule="exact"/>
                    <w:ind w:left="0" w:right="0"/>
                    <w:rPr>
                      <w:rFonts w:hint="eastAsia"/>
                      <w:bCs/>
                      <w:color w:val="auto"/>
                    </w:rPr>
                  </w:pPr>
                  <w:r>
                    <w:rPr>
                      <w:rFonts w:hint="eastAsia" w:hAnsi="宋体"/>
                      <w:color w:val="auto"/>
                      <w:szCs w:val="21"/>
                    </w:rPr>
                    <w:t>遗体处置清洗、消毒废水，专用殡仪车辆清洗、消毒废水</w:t>
                  </w:r>
                  <w:r>
                    <w:rPr>
                      <w:rFonts w:hint="eastAsia" w:hAnsi="宋体"/>
                      <w:color w:val="auto"/>
                      <w:szCs w:val="21"/>
                      <w:lang w:val="en-US" w:eastAsia="zh-CN"/>
                    </w:rPr>
                    <w:t>以及地坪清洗废水中的直接冲洗废水</w:t>
                  </w:r>
                  <w:r>
                    <w:rPr>
                      <w:rFonts w:hint="eastAsia" w:hAnsi="宋体"/>
                      <w:color w:val="auto"/>
                      <w:szCs w:val="21"/>
                      <w:lang w:eastAsia="zh-CN"/>
                    </w:rPr>
                    <w:t>，</w:t>
                  </w:r>
                  <w:r>
                    <w:rPr>
                      <w:rFonts w:hint="eastAsia" w:hAnsi="宋体"/>
                      <w:color w:val="auto"/>
                      <w:szCs w:val="21"/>
                    </w:rPr>
                    <w:t>经消毒池预处理后，与其他生活污水一同进入自建污水处理站处理。废水经污水处理站处理后非采暖期（5月至10月）可用于道路浇洒及绿化浇灌，采暖期（11月-4月）定期统一</w:t>
                  </w:r>
                  <w:r>
                    <w:rPr>
                      <w:rFonts w:hint="eastAsia" w:hAnsi="宋体"/>
                      <w:bCs/>
                      <w:color w:val="auto"/>
                      <w:szCs w:val="21"/>
                    </w:rPr>
                    <w:t>由罐车</w:t>
                  </w:r>
                  <w:r>
                    <w:rPr>
                      <w:rFonts w:hint="eastAsia" w:hAnsi="宋体"/>
                      <w:color w:val="auto"/>
                      <w:szCs w:val="21"/>
                    </w:rPr>
                    <w:t>抽送至五台县生活污水处理厂。</w:t>
                  </w:r>
                  <w:r>
                    <w:rPr>
                      <w:rFonts w:hint="eastAsia"/>
                      <w:bCs/>
                      <w:color w:val="auto"/>
                    </w:rPr>
                    <w:t>本项目委托污水处理厂罐车进行污水抽送，不自备污水罐车。</w:t>
                  </w:r>
                </w:p>
                <w:p>
                  <w:pPr>
                    <w:keepNext w:val="0"/>
                    <w:keepLines w:val="0"/>
                    <w:suppressLineNumbers w:val="0"/>
                    <w:spacing w:before="0" w:beforeAutospacing="0" w:after="0" w:afterAutospacing="0" w:line="320" w:lineRule="exact"/>
                    <w:ind w:left="0" w:right="0"/>
                    <w:rPr>
                      <w:rFonts w:hint="eastAsia"/>
                      <w:bCs/>
                      <w:color w:val="auto"/>
                    </w:rPr>
                  </w:pPr>
                  <w:r>
                    <w:rPr>
                      <w:rFonts w:hint="eastAsia"/>
                      <w:bCs/>
                      <w:color w:val="auto"/>
                      <w:lang w:val="en-US" w:eastAsia="zh-CN"/>
                    </w:rPr>
                    <w:t>设置1套处理能力为20m3/d的</w:t>
                  </w:r>
                  <w:r>
                    <w:rPr>
                      <w:rFonts w:hint="eastAsia"/>
                      <w:bCs/>
                      <w:color w:val="auto"/>
                    </w:rPr>
                    <w:t>地埋式一体化污水处理设施</w:t>
                  </w:r>
                  <w:r>
                    <w:rPr>
                      <w:rFonts w:hint="eastAsia"/>
                      <w:bCs/>
                      <w:color w:val="auto"/>
                      <w:lang w:eastAsia="zh-CN"/>
                    </w:rPr>
                    <w:t>（</w:t>
                  </w:r>
                  <w:r>
                    <w:rPr>
                      <w:rFonts w:hint="eastAsia"/>
                      <w:bCs/>
                      <w:color w:val="auto"/>
                      <w:lang w:val="en-US" w:eastAsia="zh-CN"/>
                    </w:rPr>
                    <w:t>包括深度处理</w:t>
                  </w:r>
                  <w:r>
                    <w:rPr>
                      <w:rFonts w:hint="eastAsia"/>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Merge w:val="restar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固体废物</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hAnsi="宋体"/>
                      <w:color w:val="auto"/>
                      <w:szCs w:val="21"/>
                    </w:rPr>
                    <w:t>遗体火化产生的骨灰</w:t>
                  </w:r>
                  <w:r>
                    <w:rPr>
                      <w:rFonts w:hint="eastAsia"/>
                      <w:bCs/>
                      <w:color w:val="auto"/>
                      <w:szCs w:val="21"/>
                    </w:rPr>
                    <w:t>在进行挑捡后由各逝者家属装进骨灰盒带走，葬入墓地或寄存于骨灰寄存楼。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hAnsi="宋体"/>
                      <w:color w:val="auto"/>
                      <w:szCs w:val="21"/>
                    </w:rPr>
                    <w:t>火化炉遗留的灰渣、遗物祭品焚烧灰渣、采用消石灰干化后的污水处理设施污泥与</w:t>
                  </w:r>
                  <w:r>
                    <w:rPr>
                      <w:rFonts w:hint="eastAsia"/>
                      <w:color w:val="auto"/>
                      <w:szCs w:val="21"/>
                    </w:rPr>
                    <w:t>生活垃圾一起运至</w:t>
                  </w:r>
                  <w:r>
                    <w:rPr>
                      <w:rFonts w:hint="eastAsia" w:hAnsi="宋体"/>
                      <w:color w:val="auto"/>
                      <w:szCs w:val="21"/>
                    </w:rPr>
                    <w:t>市政指定的地点统一处理</w:t>
                  </w:r>
                  <w:r>
                    <w:rPr>
                      <w:rFonts w:hint="eastAsia" w:hAnsi="宋体"/>
                      <w:color w:val="auto"/>
                      <w:szCs w:val="21"/>
                      <w:lang w:eastAsia="zh-CN"/>
                    </w:rPr>
                    <w:t>，最终进入五台县生活垃圾填埋场填埋处理</w:t>
                  </w:r>
                  <w:r>
                    <w:rPr>
                      <w:rFonts w:hint="eastAsia"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3476" w:type="pct"/>
                  <w:vAlign w:val="center"/>
                </w:tcPr>
                <w:p>
                  <w:pPr>
                    <w:keepNext w:val="0"/>
                    <w:keepLines w:val="0"/>
                    <w:suppressLineNumbers w:val="0"/>
                    <w:spacing w:before="0" w:beforeAutospacing="0" w:after="0" w:afterAutospacing="0" w:line="320" w:lineRule="exact"/>
                    <w:ind w:left="0" w:right="0"/>
                    <w:rPr>
                      <w:rFonts w:hint="eastAsia" w:hAnsi="宋体"/>
                      <w:color w:val="auto"/>
                      <w:szCs w:val="21"/>
                    </w:rPr>
                  </w:pPr>
                  <w:r>
                    <w:rPr>
                      <w:rFonts w:hint="eastAsia" w:hAnsi="宋体"/>
                      <w:bCs/>
                      <w:color w:val="auto"/>
                      <w:szCs w:val="21"/>
                    </w:rPr>
                    <w:t>隔油池油渣收集后委托相关餐饮废物回收单位回收处理。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hAnsi="宋体"/>
                      <w:color w:val="auto"/>
                      <w:szCs w:val="21"/>
                    </w:rPr>
                    <w:t>焚烧飞灰、废脱硫粉、废活性炭储存于特定容器中，暂存于危废库内，委托有相关处理资质的单位定期外协处置。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Merge w:val="continue"/>
                  <w:vAlign w:val="center"/>
                </w:tcPr>
                <w:p>
                  <w:pPr>
                    <w:keepNext w:val="0"/>
                    <w:keepLines w:val="0"/>
                    <w:suppressLineNumbers w:val="0"/>
                    <w:spacing w:before="0" w:beforeAutospacing="0" w:after="0" w:afterAutospacing="0" w:line="320" w:lineRule="exact"/>
                    <w:ind w:left="0" w:right="0"/>
                    <w:jc w:val="center"/>
                    <w:rPr>
                      <w:rFonts w:hint="eastAsia"/>
                      <w:color w:val="auto"/>
                    </w:rPr>
                  </w:pP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hAnsi="宋体"/>
                      <w:color w:val="auto"/>
                      <w:szCs w:val="21"/>
                    </w:rPr>
                    <w:t>生活垃圾设置垃圾筒，垃圾经收集后运至市政指定的地点外协处理</w:t>
                  </w:r>
                  <w:r>
                    <w:rPr>
                      <w:rFonts w:hint="eastAsia" w:hAnsi="宋体"/>
                      <w:color w:val="auto"/>
                      <w:szCs w:val="21"/>
                      <w:lang w:eastAsia="zh-CN"/>
                    </w:rPr>
                    <w:t>，最终进入五台县生活垃圾填埋场填埋处理</w:t>
                  </w:r>
                  <w:r>
                    <w:rPr>
                      <w:rFonts w:hint="eastAsia"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szCs w:val="21"/>
                    </w:rPr>
                    <w:t>设备</w:t>
                  </w:r>
                  <w:r>
                    <w:rPr>
                      <w:rFonts w:hint="eastAsia"/>
                      <w:bCs/>
                      <w:color w:val="auto"/>
                      <w:szCs w:val="21"/>
                    </w:rPr>
                    <w:t>噪声，</w:t>
                  </w:r>
                  <w:r>
                    <w:rPr>
                      <w:rFonts w:hint="eastAsia"/>
                      <w:color w:val="auto"/>
                      <w:szCs w:val="21"/>
                      <w:lang w:bidi="ar"/>
                    </w:rPr>
                    <w:t>悼念活动噪声</w:t>
                  </w:r>
                </w:p>
              </w:tc>
              <w:tc>
                <w:tcPr>
                  <w:tcW w:w="3476" w:type="pct"/>
                  <w:vAlign w:val="center"/>
                </w:tcPr>
                <w:p>
                  <w:pPr>
                    <w:keepNext w:val="0"/>
                    <w:keepLines w:val="0"/>
                    <w:suppressLineNumbers w:val="0"/>
                    <w:spacing w:before="0" w:beforeAutospacing="0" w:after="0" w:afterAutospacing="0" w:line="320" w:lineRule="exact"/>
                    <w:ind w:left="0" w:right="0"/>
                    <w:rPr>
                      <w:rFonts w:hint="eastAsia"/>
                      <w:color w:val="auto"/>
                    </w:rPr>
                  </w:pPr>
                  <w:r>
                    <w:rPr>
                      <w:rFonts w:hint="eastAsia"/>
                      <w:bCs/>
                      <w:color w:val="auto"/>
                      <w:spacing w:val="4"/>
                      <w:szCs w:val="21"/>
                    </w:rPr>
                    <w:t>选用低噪声设备，隔声、基础减振，定期维护；加强管理。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eastAsia"/>
                      <w:color w:val="auto"/>
                      <w:szCs w:val="21"/>
                    </w:rPr>
                  </w:pPr>
                </w:p>
              </w:tc>
              <w:tc>
                <w:tcPr>
                  <w:tcW w:w="1039" w:type="pct"/>
                  <w:vAlign w:val="center"/>
                </w:tcPr>
                <w:p>
                  <w:pPr>
                    <w:keepNext w:val="0"/>
                    <w:keepLines w:val="0"/>
                    <w:suppressLineNumbers w:val="0"/>
                    <w:spacing w:before="0" w:beforeAutospacing="0" w:after="0" w:afterAutospacing="0" w:line="320" w:lineRule="exact"/>
                    <w:ind w:left="0" w:right="0"/>
                    <w:jc w:val="center"/>
                    <w:rPr>
                      <w:rFonts w:hint="eastAsia"/>
                      <w:color w:val="auto"/>
                    </w:rPr>
                  </w:pPr>
                  <w:r>
                    <w:rPr>
                      <w:rFonts w:hint="eastAsia"/>
                      <w:color w:val="auto"/>
                    </w:rPr>
                    <w:t>绿化</w:t>
                  </w:r>
                </w:p>
              </w:tc>
              <w:tc>
                <w:tcPr>
                  <w:tcW w:w="3476" w:type="pct"/>
                  <w:vAlign w:val="center"/>
                </w:tcPr>
                <w:p>
                  <w:pPr>
                    <w:keepNext w:val="0"/>
                    <w:keepLines w:val="0"/>
                    <w:suppressLineNumbers w:val="0"/>
                    <w:spacing w:before="0" w:beforeAutospacing="0" w:after="0" w:afterAutospacing="0" w:line="320" w:lineRule="exact"/>
                    <w:ind w:left="0" w:right="0"/>
                    <w:rPr>
                      <w:rFonts w:hint="eastAsia"/>
                      <w:bCs/>
                      <w:color w:val="auto"/>
                    </w:rPr>
                  </w:pPr>
                  <w:r>
                    <w:rPr>
                      <w:rFonts w:hint="eastAsia"/>
                      <w:bCs/>
                      <w:color w:val="auto"/>
                    </w:rPr>
                    <w:t>绿化面积</w:t>
                  </w:r>
                  <w:r>
                    <w:rPr>
                      <w:rFonts w:hint="eastAsia"/>
                      <w:bCs/>
                      <w:color w:val="auto"/>
                      <w:lang w:val="en-US" w:eastAsia="zh-CN"/>
                    </w:rPr>
                    <w:t>8093.05</w:t>
                  </w:r>
                  <w:r>
                    <w:rPr>
                      <w:rFonts w:hint="eastAsia"/>
                      <w:bCs/>
                      <w:color w:val="auto"/>
                    </w:rPr>
                    <w:t>m</w:t>
                  </w:r>
                  <w:r>
                    <w:rPr>
                      <w:rFonts w:hint="eastAsia"/>
                      <w:bCs/>
                      <w:color w:val="auto"/>
                      <w:vertAlign w:val="superscript"/>
                    </w:rPr>
                    <w:t>2</w:t>
                  </w:r>
                  <w:r>
                    <w:rPr>
                      <w:rFonts w:hint="eastAsia"/>
                      <w:bCs/>
                      <w:color w:val="auto"/>
                    </w:rPr>
                    <w:t>，绿地率35%。</w:t>
                  </w:r>
                </w:p>
              </w:tc>
            </w:tr>
          </w:tbl>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表2-2  项目主要经济技术指标一览表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14"/>
              <w:gridCol w:w="510"/>
              <w:gridCol w:w="1915"/>
              <w:gridCol w:w="860"/>
              <w:gridCol w:w="1456"/>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序号</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指标名称</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单位</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指标</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规划总用地面积</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23123</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约合</w:t>
                  </w:r>
                  <w:r>
                    <w:rPr>
                      <w:rFonts w:hint="eastAsia"/>
                      <w:bCs/>
                      <w:color w:val="auto"/>
                      <w:sz w:val="21"/>
                      <w:szCs w:val="21"/>
                      <w:lang w:val="en-US" w:eastAsia="zh-CN"/>
                    </w:rPr>
                    <w:t>34.68</w:t>
                  </w:r>
                  <w:r>
                    <w:rPr>
                      <w:rFonts w:hint="eastAsia"/>
                      <w:color w:val="auto"/>
                      <w:sz w:val="21"/>
                      <w:szCs w:val="21"/>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2</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rPr>
                  </w:pPr>
                  <w:r>
                    <w:rPr>
                      <w:rFonts w:hint="eastAsia"/>
                      <w:color w:val="auto"/>
                      <w:sz w:val="21"/>
                      <w:szCs w:val="21"/>
                      <w:highlight w:val="none"/>
                    </w:rPr>
                    <w:t>建筑占地面积</w:t>
                  </w:r>
                </w:p>
              </w:tc>
              <w:tc>
                <w:tcPr>
                  <w:tcW w:w="499" w:type="pct"/>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4001.94</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总建筑面积</w:t>
                  </w:r>
                </w:p>
              </w:tc>
              <w:tc>
                <w:tcPr>
                  <w:tcW w:w="49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m</w:t>
                  </w:r>
                  <w:r>
                    <w:rPr>
                      <w:rFonts w:hint="eastAsia"/>
                      <w:color w:val="auto"/>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4732.91</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restar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其中</w:t>
                  </w: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火化间</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432.25</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遗物祭品焚烧间</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66.56</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告别楼</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2565.72</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1栋1层</w:t>
                  </w:r>
                  <w:r>
                    <w:rPr>
                      <w:rFonts w:hint="eastAsia"/>
                      <w:color w:val="auto"/>
                      <w:sz w:val="21"/>
                      <w:szCs w:val="21"/>
                      <w:lang w:eastAsia="zh-CN"/>
                    </w:rPr>
                    <w:t>；包含骨灰寄存室、遗体处理室、</w:t>
                  </w:r>
                  <w:r>
                    <w:rPr>
                      <w:rFonts w:hint="eastAsia"/>
                      <w:color w:val="auto"/>
                      <w:sz w:val="21"/>
                      <w:szCs w:val="21"/>
                      <w:lang w:val="en-US" w:eastAsia="zh-CN"/>
                    </w:rPr>
                    <w:t>告别厅、灵堂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办公用房</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664.77</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1栋2层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后勤管理用房</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664.77</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1栋2层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门房</w:t>
                  </w:r>
                </w:p>
              </w:tc>
              <w:tc>
                <w:tcPr>
                  <w:tcW w:w="499"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65.59</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室外厕所</w:t>
                  </w:r>
                </w:p>
              </w:tc>
              <w:tc>
                <w:tcPr>
                  <w:tcW w:w="499"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60.75</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室外连廊</w:t>
                  </w:r>
                </w:p>
              </w:tc>
              <w:tc>
                <w:tcPr>
                  <w:tcW w:w="499"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66.64</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72"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406" w:type="pct"/>
                  <w:gridSpan w:val="2"/>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设备用房</w:t>
                  </w:r>
                </w:p>
              </w:tc>
              <w:tc>
                <w:tcPr>
                  <w:tcW w:w="499"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m</w:t>
                  </w:r>
                  <w:r>
                    <w:rPr>
                      <w:rFonts w:hint="eastAsia"/>
                      <w:color w:val="auto"/>
                      <w:sz w:val="21"/>
                      <w:szCs w:val="21"/>
                      <w:vertAlign w:val="superscript"/>
                    </w:rPr>
                    <w:t>2</w:t>
                  </w:r>
                </w:p>
              </w:tc>
              <w:tc>
                <w:tcPr>
                  <w:tcW w:w="845" w:type="pct"/>
                  <w:vAlign w:val="center"/>
                </w:tcPr>
                <w:p>
                  <w:pPr>
                    <w:pStyle w:val="43"/>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145.86</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地上49.98</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val="en-US" w:eastAsia="zh-CN"/>
                    </w:rPr>
                    <w:t>地下95.88</w:t>
                  </w:r>
                  <w:r>
                    <w:rPr>
                      <w:rFonts w:hint="eastAsia"/>
                      <w:color w:val="auto"/>
                      <w:sz w:val="21"/>
                      <w:szCs w:val="21"/>
                    </w:rPr>
                    <w:t>m</w:t>
                  </w:r>
                  <w:r>
                    <w:rPr>
                      <w:rFonts w:hint="eastAsia"/>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4</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容积率</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0.2</w:t>
                  </w:r>
                  <w:r>
                    <w:rPr>
                      <w:rFonts w:hint="eastAsia"/>
                      <w:color w:val="auto"/>
                      <w:sz w:val="21"/>
                      <w:szCs w:val="21"/>
                      <w:lang w:val="en-US" w:eastAsia="zh-CN"/>
                    </w:rPr>
                    <w:t>1</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5</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建筑密度</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17.31</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6</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停车位</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个</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53</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768" w:type="pct"/>
                  <w:gridSpan w:val="2"/>
                  <w:vMerge w:val="restar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其中</w:t>
                  </w:r>
                </w:p>
              </w:tc>
              <w:tc>
                <w:tcPr>
                  <w:tcW w:w="1110"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小车停车位</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个</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768" w:type="pct"/>
                  <w:gridSpan w:val="2"/>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110"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大巴车停车位</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个</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768" w:type="pct"/>
                  <w:gridSpan w:val="2"/>
                  <w:vMerge w:val="continue"/>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110"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rPr>
                    <w:t>专用殡仪车</w:t>
                  </w:r>
                  <w:r>
                    <w:rPr>
                      <w:rFonts w:hint="eastAsia"/>
                      <w:color w:val="auto"/>
                      <w:sz w:val="21"/>
                      <w:szCs w:val="21"/>
                      <w:lang w:val="en-US" w:eastAsia="zh-CN"/>
                    </w:rPr>
                    <w:t>车位</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个</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5</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7</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绿化率</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35</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绿化面积</w:t>
                  </w:r>
                  <w:r>
                    <w:rPr>
                      <w:rFonts w:hint="eastAsia"/>
                      <w:bCs/>
                      <w:color w:val="auto"/>
                      <w:sz w:val="21"/>
                      <w:szCs w:val="21"/>
                      <w:lang w:val="en-US" w:eastAsia="zh-CN"/>
                    </w:rPr>
                    <w:t>8093.05</w:t>
                  </w:r>
                  <w:r>
                    <w:rPr>
                      <w:rFonts w:hint="eastAsia"/>
                      <w:color w:val="auto"/>
                      <w:sz w:val="21"/>
                      <w:szCs w:val="21"/>
                    </w:rPr>
                    <w:t>m</w:t>
                  </w:r>
                  <w:r>
                    <w:rPr>
                      <w:rFonts w:hint="eastAsia"/>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8</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项目总投资</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万元</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3762.88</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县财政</w:t>
                  </w:r>
                  <w:r>
                    <w:rPr>
                      <w:rFonts w:hint="eastAsia"/>
                      <w:color w:val="auto"/>
                      <w:sz w:val="21"/>
                      <w:szCs w:val="21"/>
                      <w:lang w:val="en-US" w:eastAsia="zh-CN"/>
                    </w:rPr>
                    <w:t>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9</w:t>
                  </w:r>
                </w:p>
              </w:tc>
              <w:tc>
                <w:tcPr>
                  <w:tcW w:w="1879" w:type="pct"/>
                  <w:gridSpan w:val="3"/>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建设期</w:t>
                  </w:r>
                </w:p>
              </w:tc>
              <w:tc>
                <w:tcPr>
                  <w:tcW w:w="499"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月</w:t>
                  </w:r>
                </w:p>
              </w:tc>
              <w:tc>
                <w:tcPr>
                  <w:tcW w:w="845"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8</w:t>
                  </w:r>
                </w:p>
              </w:tc>
              <w:tc>
                <w:tcPr>
                  <w:tcW w:w="1363" w:type="pct"/>
                  <w:vAlign w:val="center"/>
                </w:tcPr>
                <w:p>
                  <w:pPr>
                    <w:pStyle w:val="43"/>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3、平面布置</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本项目的规划设计从总体布局来说，应充分吸收和借鉴殡仪馆建筑设计的新成就和先进技术。既顾及当地现实情况，同时又适当具有前瞻性。规划设计方案力求科学合理，技术先进，符合发展趋势。</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本项目大门位于地块</w:t>
            </w:r>
            <w:r>
              <w:rPr>
                <w:rFonts w:hint="eastAsia"/>
                <w:color w:val="auto"/>
                <w:sz w:val="24"/>
                <w:lang w:val="en-US" w:eastAsia="zh-CN"/>
              </w:rPr>
              <w:t>北</w:t>
            </w:r>
            <w:r>
              <w:rPr>
                <w:rFonts w:hint="eastAsia"/>
                <w:color w:val="auto"/>
                <w:sz w:val="24"/>
              </w:rPr>
              <w:t>侧，即通过</w:t>
            </w:r>
            <w:r>
              <w:rPr>
                <w:rFonts w:hint="eastAsia"/>
                <w:color w:val="auto"/>
                <w:sz w:val="24"/>
                <w:lang w:val="en-US" w:eastAsia="zh-CN"/>
              </w:rPr>
              <w:t>北</w:t>
            </w:r>
            <w:r>
              <w:rPr>
                <w:rFonts w:hint="eastAsia"/>
                <w:color w:val="auto"/>
                <w:sz w:val="24"/>
              </w:rPr>
              <w:t>侧大门进入的就是五台县殡仪馆院内，采取的是庭院式道路系统，场地布置环形消防道路，满足消防车道的通行要求；殡仪馆内道路设计为城市型混凝土路面,主干道宽</w:t>
            </w:r>
            <w:r>
              <w:rPr>
                <w:rFonts w:hint="eastAsia"/>
                <w:color w:val="auto"/>
                <w:sz w:val="24"/>
                <w:lang w:val="en-US" w:eastAsia="zh-CN"/>
              </w:rPr>
              <w:t>7</w:t>
            </w:r>
            <w:r>
              <w:rPr>
                <w:rFonts w:hint="eastAsia"/>
                <w:color w:val="auto"/>
                <w:sz w:val="24"/>
              </w:rPr>
              <w:t>m，次要道路宽6m，可满足交通及消防要求。专用殡仪车辆又场区</w:t>
            </w:r>
            <w:r>
              <w:rPr>
                <w:rFonts w:hint="eastAsia"/>
                <w:color w:val="auto"/>
                <w:sz w:val="24"/>
                <w:lang w:val="en-US" w:eastAsia="zh-CN"/>
              </w:rPr>
              <w:t>西北</w:t>
            </w:r>
            <w:r>
              <w:rPr>
                <w:rFonts w:hint="eastAsia"/>
                <w:color w:val="auto"/>
                <w:sz w:val="24"/>
              </w:rPr>
              <w:t>侧专用出入口进出，其余车辆由场区</w:t>
            </w:r>
            <w:r>
              <w:rPr>
                <w:rFonts w:hint="eastAsia"/>
                <w:color w:val="auto"/>
                <w:sz w:val="24"/>
                <w:lang w:val="en-US" w:eastAsia="zh-CN"/>
              </w:rPr>
              <w:t>北</w:t>
            </w:r>
            <w:r>
              <w:rPr>
                <w:rFonts w:hint="eastAsia"/>
                <w:color w:val="auto"/>
                <w:sz w:val="24"/>
              </w:rPr>
              <w:t>侧</w:t>
            </w:r>
            <w:r>
              <w:rPr>
                <w:rFonts w:hint="eastAsia"/>
                <w:color w:val="auto"/>
                <w:sz w:val="24"/>
                <w:lang w:val="en-US" w:eastAsia="zh-CN"/>
              </w:rPr>
              <w:t>中部</w:t>
            </w:r>
            <w:r>
              <w:rPr>
                <w:rFonts w:hint="eastAsia"/>
                <w:color w:val="auto"/>
                <w:sz w:val="24"/>
              </w:rPr>
              <w:t>大门进出。</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本项目场区</w:t>
            </w:r>
            <w:r>
              <w:rPr>
                <w:rFonts w:hint="eastAsia"/>
                <w:color w:val="auto"/>
                <w:sz w:val="24"/>
                <w:lang w:val="en-US" w:eastAsia="zh-CN"/>
              </w:rPr>
              <w:t>南</w:t>
            </w:r>
            <w:r>
              <w:rPr>
                <w:rFonts w:hint="eastAsia"/>
                <w:color w:val="auto"/>
                <w:sz w:val="24"/>
              </w:rPr>
              <w:t>侧布置火化间、</w:t>
            </w:r>
            <w:r>
              <w:rPr>
                <w:rFonts w:hint="eastAsia"/>
                <w:color w:val="auto"/>
                <w:sz w:val="24"/>
                <w:lang w:val="en-US" w:eastAsia="zh-CN"/>
              </w:rPr>
              <w:t>焚烧间</w:t>
            </w:r>
            <w:r>
              <w:rPr>
                <w:rFonts w:hint="eastAsia"/>
                <w:color w:val="auto"/>
                <w:sz w:val="24"/>
              </w:rPr>
              <w:t>、</w:t>
            </w:r>
            <w:r>
              <w:rPr>
                <w:rFonts w:hint="eastAsia"/>
                <w:color w:val="auto"/>
                <w:sz w:val="24"/>
                <w:lang w:val="en-US" w:eastAsia="zh-CN"/>
              </w:rPr>
              <w:t>车库</w:t>
            </w:r>
            <w:r>
              <w:rPr>
                <w:rFonts w:hint="eastAsia"/>
                <w:color w:val="auto"/>
                <w:sz w:val="24"/>
              </w:rPr>
              <w:t>以及附属设施；中部布置告别楼</w:t>
            </w:r>
            <w:r>
              <w:rPr>
                <w:rFonts w:hint="eastAsia"/>
                <w:color w:val="auto"/>
                <w:sz w:val="24"/>
                <w:lang w:eastAsia="zh-CN"/>
              </w:rPr>
              <w:t>（包含骨灰寄存室、遗体处理室）</w:t>
            </w:r>
            <w:r>
              <w:rPr>
                <w:rFonts w:hint="eastAsia"/>
                <w:color w:val="auto"/>
                <w:sz w:val="24"/>
              </w:rPr>
              <w:t>；</w:t>
            </w:r>
            <w:r>
              <w:rPr>
                <w:rFonts w:hint="eastAsia"/>
                <w:color w:val="auto"/>
                <w:sz w:val="24"/>
                <w:lang w:val="en-US" w:eastAsia="zh-CN"/>
              </w:rPr>
              <w:t>北</w:t>
            </w:r>
            <w:r>
              <w:rPr>
                <w:rFonts w:hint="eastAsia"/>
                <w:color w:val="auto"/>
                <w:sz w:val="24"/>
              </w:rPr>
              <w:t>侧布置办公用房、后勤管理用房、广场祭祀文化园（绿化）、停车场等。</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本项目总平面布置图见附图3。</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4、主要设备</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主要设备清单见表2-3。</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表2-3  项目主要生产设备一览表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992"/>
              <w:gridCol w:w="2947"/>
              <w:gridCol w:w="1311"/>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序号</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设备名称</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型号、规格</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数量</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设备位置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火化机</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YQ欧亚全自动环保节能6000型高档拣灰火化机</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3台</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火化间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2</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遗物祭品焚烧炉</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1台</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szCs w:val="21"/>
                    </w:rPr>
                    <w:t>遗物祭品焚烧间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3</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冷藏柜</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一体化冷藏柜</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60个</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遗体处理用房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4</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冰棺</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6个</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告别楼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5</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殡仪专用车</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5辆</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6</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柴油储罐</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10t</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1台</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火化间</w:t>
                  </w:r>
                  <w:r>
                    <w:rPr>
                      <w:rFonts w:hint="eastAsia"/>
                      <w:color w:val="auto"/>
                      <w:kern w:val="2"/>
                      <w:lang w:val="en-US" w:eastAsia="zh-CN"/>
                    </w:rPr>
                    <w:t>西</w:t>
                  </w:r>
                  <w:r>
                    <w:rPr>
                      <w:rFonts w:hint="eastAsia"/>
                      <w:color w:val="auto"/>
                      <w:kern w:val="2"/>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7</w:t>
                  </w:r>
                </w:p>
              </w:tc>
              <w:tc>
                <w:tcPr>
                  <w:tcW w:w="1156"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备用发电机</w:t>
                  </w:r>
                </w:p>
              </w:tc>
              <w:tc>
                <w:tcPr>
                  <w:tcW w:w="1710"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150kw</w:t>
                  </w:r>
                </w:p>
              </w:tc>
              <w:tc>
                <w:tcPr>
                  <w:tcW w:w="761"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1台</w:t>
                  </w:r>
                </w:p>
              </w:tc>
              <w:tc>
                <w:tcPr>
                  <w:tcW w:w="1024" w:type="pct"/>
                  <w:vAlign w:val="center"/>
                </w:tcPr>
                <w:p>
                  <w:pPr>
                    <w:pStyle w:val="44"/>
                    <w:keepNext w:val="0"/>
                    <w:keepLines w:val="0"/>
                    <w:widowControl/>
                    <w:suppressLineNumbers w:val="0"/>
                    <w:spacing w:before="0" w:beforeAutospacing="0" w:after="0" w:afterAutospacing="0"/>
                    <w:ind w:left="0" w:right="0"/>
                    <w:rPr>
                      <w:rFonts w:hint="eastAsia"/>
                      <w:color w:val="auto"/>
                      <w:kern w:val="2"/>
                    </w:rPr>
                  </w:pPr>
                  <w:r>
                    <w:rPr>
                      <w:rFonts w:hint="eastAsia"/>
                      <w:color w:val="auto"/>
                      <w:kern w:val="2"/>
                    </w:rPr>
                    <w:t>火化间</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5、主要原辅材料及能源消耗情况</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本项目拟设置3台燃油火化机，</w:t>
            </w:r>
            <w:r>
              <w:rPr>
                <w:rFonts w:hint="eastAsia"/>
                <w:bCs/>
                <w:color w:val="auto"/>
                <w:sz w:val="24"/>
              </w:rPr>
              <w:t>年最大服务能力为火化2190具遗体，每台火化机以每日火化两具遗体计。</w:t>
            </w:r>
            <w:r>
              <w:rPr>
                <w:rFonts w:hint="eastAsia"/>
                <w:color w:val="auto"/>
                <w:sz w:val="24"/>
              </w:rPr>
              <w:t>环评主要原辅材料及能源消耗以项目最高年服务能力计，即年火化遗体2190具；遗体火化耗油量平均约为40升/具（柴油密度以0.84计算），则遗体火化柴油年消耗量为73.6t；备用发电机最大年消耗柴油为2t。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主要原辅材料及能源消耗情况表如下表2-4所示：</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表2-4  主要原辅材料及能源消耗情况表</w:t>
            </w:r>
          </w:p>
          <w:tbl>
            <w:tblPr>
              <w:tblStyle w:val="19"/>
              <w:tblpPr w:leftFromText="181" w:rightFromText="181" w:vertAnchor="text" w:horzAnchor="page" w:tblpX="97"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077"/>
              <w:gridCol w:w="1613"/>
              <w:gridCol w:w="1793"/>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类别</w:t>
                  </w:r>
                </w:p>
              </w:tc>
              <w:tc>
                <w:tcPr>
                  <w:tcW w:w="1205"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名称</w:t>
                  </w:r>
                </w:p>
              </w:tc>
              <w:tc>
                <w:tcPr>
                  <w:tcW w:w="93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年耗量</w:t>
                  </w:r>
                </w:p>
              </w:tc>
              <w:tc>
                <w:tcPr>
                  <w:tcW w:w="1040"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最大储存量</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Merge w:val="restar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原辅材料</w:t>
                  </w:r>
                </w:p>
              </w:tc>
              <w:tc>
                <w:tcPr>
                  <w:tcW w:w="1205"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遗体</w:t>
                  </w:r>
                </w:p>
              </w:tc>
              <w:tc>
                <w:tcPr>
                  <w:tcW w:w="9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2190具</w:t>
                  </w:r>
                </w:p>
              </w:tc>
              <w:tc>
                <w:tcPr>
                  <w:tcW w:w="104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Merge w:val="continue"/>
                  <w:vAlign w:val="center"/>
                </w:tcPr>
                <w:p>
                  <w:pPr>
                    <w:pStyle w:val="45"/>
                    <w:keepNext w:val="0"/>
                    <w:keepLines w:val="0"/>
                    <w:suppressLineNumbers w:val="0"/>
                    <w:spacing w:before="0" w:beforeAutospacing="0" w:after="0" w:afterAutospacing="0"/>
                    <w:ind w:left="0" w:right="0"/>
                    <w:rPr>
                      <w:rFonts w:hint="eastAsia"/>
                      <w:color w:val="auto"/>
                      <w:szCs w:val="21"/>
                    </w:rPr>
                  </w:pPr>
                </w:p>
              </w:tc>
              <w:tc>
                <w:tcPr>
                  <w:tcW w:w="1205"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遗物、祭品</w:t>
                  </w:r>
                </w:p>
              </w:tc>
              <w:tc>
                <w:tcPr>
                  <w:tcW w:w="9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43.8 t/a</w:t>
                  </w:r>
                </w:p>
              </w:tc>
              <w:tc>
                <w:tcPr>
                  <w:tcW w:w="104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Merge w:val="restar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能耗</w:t>
                  </w:r>
                </w:p>
              </w:tc>
              <w:tc>
                <w:tcPr>
                  <w:tcW w:w="1205"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电</w:t>
                  </w:r>
                </w:p>
              </w:tc>
              <w:tc>
                <w:tcPr>
                  <w:tcW w:w="93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260.77万kW.h</w:t>
                  </w:r>
                </w:p>
              </w:tc>
              <w:tc>
                <w:tcPr>
                  <w:tcW w:w="1040"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集镇供电网络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Merge w:val="continue"/>
                  <w:vAlign w:val="center"/>
                </w:tcPr>
                <w:p>
                  <w:pPr>
                    <w:pStyle w:val="45"/>
                    <w:keepNext w:val="0"/>
                    <w:keepLines w:val="0"/>
                    <w:suppressLineNumbers w:val="0"/>
                    <w:spacing w:before="0" w:beforeAutospacing="0" w:after="0" w:afterAutospacing="0"/>
                    <w:ind w:left="0" w:right="0"/>
                    <w:rPr>
                      <w:rFonts w:hint="eastAsia"/>
                      <w:color w:val="auto"/>
                      <w:szCs w:val="21"/>
                    </w:rPr>
                  </w:pPr>
                </w:p>
              </w:tc>
              <w:tc>
                <w:tcPr>
                  <w:tcW w:w="1205"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4"/>
                    </w:rPr>
                    <w:t>0</w:t>
                  </w:r>
                  <w:r>
                    <w:rPr>
                      <w:rFonts w:hint="eastAsia"/>
                      <w:color w:val="auto"/>
                      <w:szCs w:val="24"/>
                      <w:vertAlign w:val="superscript"/>
                    </w:rPr>
                    <w:t>#</w:t>
                  </w:r>
                  <w:r>
                    <w:rPr>
                      <w:rFonts w:hint="eastAsia"/>
                      <w:color w:val="auto"/>
                      <w:szCs w:val="24"/>
                    </w:rPr>
                    <w:t>-30</w:t>
                  </w:r>
                  <w:r>
                    <w:rPr>
                      <w:rFonts w:hint="eastAsia"/>
                      <w:color w:val="auto"/>
                      <w:szCs w:val="24"/>
                      <w:vertAlign w:val="superscript"/>
                    </w:rPr>
                    <w:t>#</w:t>
                  </w:r>
                  <w:r>
                    <w:rPr>
                      <w:rFonts w:hint="eastAsia"/>
                      <w:color w:val="auto"/>
                      <w:szCs w:val="24"/>
                    </w:rPr>
                    <w:t>轻质车用柴油</w:t>
                  </w:r>
                </w:p>
              </w:tc>
              <w:tc>
                <w:tcPr>
                  <w:tcW w:w="93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75.6 t/a</w:t>
                  </w:r>
                </w:p>
              </w:tc>
              <w:tc>
                <w:tcPr>
                  <w:tcW w:w="1040"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10t</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1"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水耗</w:t>
                  </w:r>
                </w:p>
              </w:tc>
              <w:tc>
                <w:tcPr>
                  <w:tcW w:w="1205"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水</w:t>
                  </w:r>
                </w:p>
              </w:tc>
              <w:tc>
                <w:tcPr>
                  <w:tcW w:w="93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lang w:val="en-US" w:eastAsia="zh-CN"/>
                    </w:rPr>
                    <w:t>7099.1</w:t>
                  </w:r>
                  <w:r>
                    <w:rPr>
                      <w:rFonts w:hint="eastAsia"/>
                      <w:color w:val="auto"/>
                      <w:szCs w:val="21"/>
                    </w:rPr>
                    <w:t xml:space="preserve"> m³/a</w:t>
                  </w:r>
                </w:p>
              </w:tc>
              <w:tc>
                <w:tcPr>
                  <w:tcW w:w="1040"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w:t>
                  </w:r>
                </w:p>
              </w:tc>
              <w:tc>
                <w:tcPr>
                  <w:tcW w:w="120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自备水井提供</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环评要求0</w:t>
            </w:r>
            <w:r>
              <w:rPr>
                <w:rFonts w:hint="eastAsia"/>
                <w:bCs/>
                <w:color w:val="auto"/>
                <w:sz w:val="24"/>
                <w:vertAlign w:val="superscript"/>
              </w:rPr>
              <w:t>#</w:t>
            </w:r>
            <w:r>
              <w:rPr>
                <w:rFonts w:hint="eastAsia"/>
                <w:bCs/>
                <w:color w:val="auto"/>
                <w:sz w:val="24"/>
              </w:rPr>
              <w:t>-30</w:t>
            </w:r>
            <w:r>
              <w:rPr>
                <w:rFonts w:hint="eastAsia"/>
                <w:bCs/>
                <w:color w:val="auto"/>
                <w:sz w:val="24"/>
                <w:vertAlign w:val="superscript"/>
              </w:rPr>
              <w:t>#</w:t>
            </w:r>
            <w:r>
              <w:rPr>
                <w:rFonts w:hint="eastAsia"/>
                <w:bCs/>
                <w:color w:val="auto"/>
                <w:sz w:val="24"/>
              </w:rPr>
              <w:t>轻质车用柴油质量要求达到《车用柴油》（GB19147-2016）中车用柴油（Ⅵ）技术要求，其中硫含量不大于10mg/kg。</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6、公用工程</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（1）供水工程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本项目施工水源由地块周边</w:t>
            </w:r>
            <w:r>
              <w:rPr>
                <w:rFonts w:hint="eastAsia"/>
                <w:color w:val="auto"/>
                <w:sz w:val="24"/>
                <w:lang w:val="en-US" w:eastAsia="zh-CN"/>
              </w:rPr>
              <w:t>村庄</w:t>
            </w:r>
            <w:r>
              <w:rPr>
                <w:rFonts w:hint="eastAsia"/>
                <w:color w:val="auto"/>
                <w:sz w:val="24"/>
              </w:rPr>
              <w:t>接入供给；建成运营后将打井供给。运营期用水主要为遗体处置清洗、消毒用水，专用殡仪车辆清洗</w:t>
            </w:r>
            <w:r>
              <w:rPr>
                <w:rFonts w:hint="eastAsia"/>
                <w:color w:val="auto"/>
                <w:sz w:val="24"/>
                <w:lang w:eastAsia="zh-CN"/>
              </w:rPr>
              <w:t>、</w:t>
            </w:r>
            <w:r>
              <w:rPr>
                <w:rFonts w:hint="eastAsia"/>
                <w:color w:val="auto"/>
                <w:sz w:val="24"/>
              </w:rPr>
              <w:t>消毒用水，</w:t>
            </w:r>
            <w:r>
              <w:rPr>
                <w:rFonts w:hint="eastAsia"/>
                <w:color w:val="auto"/>
                <w:sz w:val="24"/>
                <w:lang w:val="en-US" w:eastAsia="zh-CN"/>
              </w:rPr>
              <w:t>地坪清洗用水，</w:t>
            </w:r>
            <w:r>
              <w:rPr>
                <w:rFonts w:hint="eastAsia"/>
                <w:color w:val="auto"/>
                <w:sz w:val="24"/>
              </w:rPr>
              <w:t>火化机烟气处理设施急冷装置循环冷却水用水，绿化用水，来访人员及工作人员生活用水。</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①遗体处置清洗、消毒用水：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参考同类报告，遗体处置包括沐浴、化妆、换衣等殡仪服务以及处置台清洗、消毒，用水量约为0.2-0.3m</w:t>
            </w:r>
            <w:r>
              <w:rPr>
                <w:rFonts w:hint="eastAsia"/>
                <w:color w:val="auto"/>
                <w:sz w:val="24"/>
                <w:vertAlign w:val="superscript"/>
              </w:rPr>
              <w:t>3</w:t>
            </w:r>
            <w:r>
              <w:rPr>
                <w:rFonts w:hint="eastAsia"/>
                <w:color w:val="auto"/>
                <w:sz w:val="24"/>
              </w:rPr>
              <w:t>/具，本项目取遗体处置清洗、消毒用水为0.3m</w:t>
            </w:r>
            <w:r>
              <w:rPr>
                <w:rFonts w:hint="eastAsia"/>
                <w:color w:val="auto"/>
                <w:sz w:val="24"/>
                <w:vertAlign w:val="superscript"/>
              </w:rPr>
              <w:t>3</w:t>
            </w:r>
            <w:r>
              <w:rPr>
                <w:rFonts w:hint="eastAsia"/>
                <w:color w:val="auto"/>
                <w:sz w:val="24"/>
              </w:rPr>
              <w:t>/具；以项目最高年服务能力计，即年火化遗体2190具计，则本项目遗体处置清洗、消毒用水量为657m</w:t>
            </w:r>
            <w:r>
              <w:rPr>
                <w:rFonts w:hint="eastAsia"/>
                <w:color w:val="auto"/>
                <w:sz w:val="24"/>
                <w:vertAlign w:val="superscript"/>
              </w:rPr>
              <w:t>3</w:t>
            </w:r>
            <w:r>
              <w:rPr>
                <w:rFonts w:hint="eastAsia"/>
                <w:color w:val="auto"/>
                <w:sz w:val="24"/>
              </w:rPr>
              <w:t>/a（1.8m</w:t>
            </w:r>
            <w:r>
              <w:rPr>
                <w:rFonts w:hint="eastAsia"/>
                <w:color w:val="auto"/>
                <w:sz w:val="24"/>
                <w:vertAlign w:val="superscript"/>
              </w:rPr>
              <w:t>3</w:t>
            </w:r>
            <w:r>
              <w:rPr>
                <w:rFonts w:hint="eastAsia"/>
                <w:color w:val="auto"/>
                <w:sz w:val="24"/>
              </w:rPr>
              <w:t>/d）；产污系数按用水量的80%计，则污水产生量为525.6m³/a（1.44m³/d）</w:t>
            </w:r>
            <w:r>
              <w:rPr>
                <w:rFonts w:hint="eastAsia"/>
                <w:color w:val="auto"/>
                <w:sz w:val="24"/>
                <w:lang w:eastAsia="zh-CN"/>
              </w:rPr>
              <w:t>；遗体处置清洗、消毒</w:t>
            </w:r>
            <w:r>
              <w:rPr>
                <w:rFonts w:hint="eastAsia"/>
                <w:color w:val="auto"/>
                <w:sz w:val="24"/>
                <w:lang w:val="en-US" w:eastAsia="zh-CN"/>
              </w:rPr>
              <w:t>废</w:t>
            </w:r>
            <w:r>
              <w:rPr>
                <w:rFonts w:hint="eastAsia"/>
                <w:color w:val="auto"/>
                <w:sz w:val="24"/>
                <w:lang w:eastAsia="zh-CN"/>
              </w:rPr>
              <w:t>水</w:t>
            </w:r>
            <w:r>
              <w:rPr>
                <w:rFonts w:hint="eastAsia"/>
                <w:color w:val="auto"/>
                <w:sz w:val="24"/>
                <w:lang w:val="en-US" w:eastAsia="zh-CN"/>
              </w:rPr>
              <w:t>排入消毒池进行消毒预处理。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②专用殡仪车辆清洗、消毒用水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lang w:val="en-US" w:eastAsia="zh-CN"/>
              </w:rPr>
              <w:t>参考《山西省用水定额第3部分：服务业用水定额》（DB14/T1049.3-2021）汽车冲洗用水定额中公共汽车、载重汽车冲洗用水定额，本项目</w:t>
            </w:r>
            <w:r>
              <w:rPr>
                <w:rFonts w:hint="eastAsia"/>
                <w:color w:val="auto"/>
                <w:sz w:val="24"/>
              </w:rPr>
              <w:t>专用殡仪车辆清洗消毒用水按</w:t>
            </w:r>
            <w:r>
              <w:rPr>
                <w:rFonts w:hint="eastAsia"/>
                <w:color w:val="auto"/>
                <w:sz w:val="24"/>
                <w:lang w:val="en-US" w:eastAsia="zh-CN"/>
              </w:rPr>
              <w:t>60</w:t>
            </w:r>
            <w:r>
              <w:rPr>
                <w:rFonts w:hint="eastAsia"/>
                <w:color w:val="auto"/>
                <w:sz w:val="24"/>
              </w:rPr>
              <w:t>L/辆·次计，清洗次数按2190次/计，则本项目专用殡仪车辆清洗消毒用水量为</w:t>
            </w:r>
            <w:r>
              <w:rPr>
                <w:rFonts w:hint="eastAsia"/>
                <w:color w:val="auto"/>
                <w:sz w:val="24"/>
                <w:lang w:val="en-US" w:eastAsia="zh-CN"/>
              </w:rPr>
              <w:t>131.4</w:t>
            </w:r>
            <w:r>
              <w:rPr>
                <w:rFonts w:hint="eastAsia"/>
                <w:color w:val="auto"/>
                <w:sz w:val="24"/>
              </w:rPr>
              <w:t>m</w:t>
            </w:r>
            <w:r>
              <w:rPr>
                <w:rFonts w:hint="eastAsia"/>
                <w:color w:val="auto"/>
                <w:sz w:val="24"/>
                <w:vertAlign w:val="superscript"/>
              </w:rPr>
              <w:t>3</w:t>
            </w:r>
            <w:r>
              <w:rPr>
                <w:rFonts w:hint="eastAsia"/>
                <w:color w:val="auto"/>
                <w:sz w:val="24"/>
              </w:rPr>
              <w:t>/a（0.</w:t>
            </w:r>
            <w:r>
              <w:rPr>
                <w:rFonts w:hint="eastAsia"/>
                <w:color w:val="auto"/>
                <w:sz w:val="24"/>
                <w:lang w:val="en-US" w:eastAsia="zh-CN"/>
              </w:rPr>
              <w:t>36</w:t>
            </w:r>
            <w:r>
              <w:rPr>
                <w:rFonts w:hint="eastAsia"/>
                <w:color w:val="auto"/>
                <w:sz w:val="24"/>
              </w:rPr>
              <w:t>m</w:t>
            </w:r>
            <w:r>
              <w:rPr>
                <w:rFonts w:hint="eastAsia"/>
                <w:color w:val="auto"/>
                <w:sz w:val="24"/>
                <w:vertAlign w:val="superscript"/>
              </w:rPr>
              <w:t>3</w:t>
            </w:r>
            <w:r>
              <w:rPr>
                <w:rFonts w:hint="eastAsia"/>
                <w:color w:val="auto"/>
                <w:sz w:val="24"/>
              </w:rPr>
              <w:t>/d）。产污系数按用水量的80%计，则污水产生量为</w:t>
            </w:r>
            <w:r>
              <w:rPr>
                <w:rFonts w:hint="eastAsia"/>
                <w:color w:val="auto"/>
                <w:sz w:val="24"/>
                <w:lang w:val="en-US" w:eastAsia="zh-CN"/>
              </w:rPr>
              <w:t>105.12</w:t>
            </w:r>
            <w:r>
              <w:rPr>
                <w:rFonts w:hint="eastAsia"/>
                <w:color w:val="auto"/>
                <w:sz w:val="24"/>
              </w:rPr>
              <w:t>m³/a（0.</w:t>
            </w:r>
            <w:r>
              <w:rPr>
                <w:rFonts w:hint="eastAsia"/>
                <w:color w:val="auto"/>
                <w:sz w:val="24"/>
                <w:lang w:val="en-US" w:eastAsia="zh-CN"/>
              </w:rPr>
              <w:t>29</w:t>
            </w:r>
            <w:r>
              <w:rPr>
                <w:rFonts w:hint="eastAsia"/>
                <w:color w:val="auto"/>
                <w:sz w:val="24"/>
              </w:rPr>
              <w:t>m³/d）</w:t>
            </w:r>
            <w:r>
              <w:rPr>
                <w:rFonts w:hint="eastAsia"/>
                <w:color w:val="auto"/>
                <w:sz w:val="24"/>
                <w:lang w:eastAsia="zh-CN"/>
              </w:rPr>
              <w:t>；专用殡仪车辆清洗、消毒</w:t>
            </w:r>
            <w:r>
              <w:rPr>
                <w:rFonts w:hint="eastAsia"/>
                <w:color w:val="auto"/>
                <w:sz w:val="24"/>
                <w:lang w:val="en-US" w:eastAsia="zh-CN"/>
              </w:rPr>
              <w:t>废水排入消毒池进行消毒预处理。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default" w:eastAsia="宋体"/>
                <w:color w:val="auto"/>
                <w:sz w:val="24"/>
                <w:lang w:val="en-US" w:eastAsia="zh-CN"/>
              </w:rPr>
            </w:pPr>
            <w:r>
              <w:rPr>
                <w:rFonts w:hint="eastAsia"/>
                <w:b/>
                <w:bCs/>
                <w:color w:val="auto"/>
                <w:sz w:val="24"/>
              </w:rPr>
              <w:t>③</w:t>
            </w:r>
            <w:r>
              <w:rPr>
                <w:rFonts w:hint="eastAsia"/>
                <w:b/>
                <w:bCs/>
                <w:color w:val="auto"/>
                <w:sz w:val="24"/>
                <w:lang w:val="en-US" w:eastAsia="zh-CN"/>
              </w:rPr>
              <w:t>地坪清洗用水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lang w:val="en-US" w:eastAsia="zh-CN"/>
              </w:rPr>
            </w:pPr>
            <w:r>
              <w:rPr>
                <w:rFonts w:hint="eastAsia"/>
                <w:color w:val="auto"/>
                <w:sz w:val="24"/>
                <w:lang w:val="en-US" w:eastAsia="zh-CN"/>
              </w:rPr>
              <w:t>本项目室内地坪清洗方式包括清扫、拖布清洗、直接水冲洗等；其中告别楼、火化间、办公用房等采用拖布清洗方式，专用车辆车位、遗体处置用房采用直接水冲洗的方式；参考《山西省用水定额第3部分：服务业用水定额》（DB14/T1049.3</w:t>
            </w:r>
          </w:p>
          <w:p>
            <w:pPr>
              <w:keepNext w:val="0"/>
              <w:keepLines w:val="0"/>
              <w:suppressLineNumbers w:val="0"/>
              <w:adjustRightInd w:val="0"/>
              <w:snapToGrid w:val="0"/>
              <w:spacing w:before="0" w:beforeAutospacing="0" w:after="0" w:afterAutospacing="0" w:line="480" w:lineRule="exact"/>
              <w:ind w:left="0" w:right="0"/>
              <w:rPr>
                <w:rFonts w:hint="default" w:eastAsia="宋体"/>
                <w:color w:val="auto"/>
                <w:sz w:val="24"/>
                <w:lang w:val="en-US" w:eastAsia="zh-CN"/>
              </w:rPr>
            </w:pPr>
            <w:r>
              <w:rPr>
                <w:rFonts w:hint="eastAsia"/>
                <w:color w:val="auto"/>
                <w:sz w:val="24"/>
                <w:lang w:val="en-US" w:eastAsia="zh-CN"/>
              </w:rPr>
              <w:t>-2021）建筑物清洁服务用水定额，本项目拖布清洗方式用水定额取3</w:t>
            </w:r>
            <w:r>
              <w:rPr>
                <w:rFonts w:hint="eastAsia"/>
                <w:color w:val="auto"/>
                <w:sz w:val="24"/>
              </w:rPr>
              <w:t>L/</w:t>
            </w:r>
            <w:r>
              <w:rPr>
                <w:rFonts w:hint="eastAsia"/>
                <w:color w:val="auto"/>
                <w:sz w:val="24"/>
                <w:lang w:val="en-US" w:eastAsia="zh-CN"/>
              </w:rPr>
              <w:t>m</w:t>
            </w:r>
            <w:r>
              <w:rPr>
                <w:rFonts w:hint="eastAsia"/>
                <w:color w:val="auto"/>
                <w:sz w:val="24"/>
                <w:vertAlign w:val="superscript"/>
                <w:lang w:val="en-US" w:eastAsia="zh-CN"/>
              </w:rPr>
              <w:t>2</w:t>
            </w:r>
            <w:r>
              <w:rPr>
                <w:rFonts w:hint="eastAsia"/>
                <w:color w:val="auto"/>
                <w:sz w:val="24"/>
              </w:rPr>
              <w:t>·次</w:t>
            </w:r>
            <w:r>
              <w:rPr>
                <w:rFonts w:hint="eastAsia"/>
                <w:color w:val="auto"/>
                <w:sz w:val="24"/>
                <w:lang w:eastAsia="zh-CN"/>
              </w:rPr>
              <w:t>，</w:t>
            </w:r>
            <w:r>
              <w:rPr>
                <w:rFonts w:hint="eastAsia"/>
                <w:color w:val="auto"/>
                <w:sz w:val="24"/>
                <w:lang w:val="en-US" w:eastAsia="zh-CN"/>
              </w:rPr>
              <w:t>清洗面积约为4233m</w:t>
            </w:r>
            <w:r>
              <w:rPr>
                <w:rFonts w:hint="eastAsia"/>
                <w:color w:val="auto"/>
                <w:sz w:val="24"/>
                <w:vertAlign w:val="superscript"/>
                <w:lang w:val="en-US" w:eastAsia="zh-CN"/>
              </w:rPr>
              <w:t>2</w:t>
            </w:r>
            <w:r>
              <w:rPr>
                <w:rFonts w:hint="eastAsia"/>
                <w:color w:val="auto"/>
                <w:sz w:val="24"/>
                <w:vertAlign w:val="baseline"/>
                <w:lang w:val="en-US" w:eastAsia="zh-CN"/>
              </w:rPr>
              <w:t>，清洗次数取1次/7d</w:t>
            </w:r>
            <w:r>
              <w:rPr>
                <w:rFonts w:hint="eastAsia"/>
                <w:color w:val="auto"/>
                <w:sz w:val="24"/>
                <w:lang w:val="en-US" w:eastAsia="zh-CN"/>
              </w:rPr>
              <w:t>；直接水冲洗方式用水定额取5</w:t>
            </w:r>
            <w:r>
              <w:rPr>
                <w:rFonts w:hint="eastAsia"/>
                <w:color w:val="auto"/>
                <w:sz w:val="24"/>
              </w:rPr>
              <w:t>L/</w:t>
            </w:r>
            <w:r>
              <w:rPr>
                <w:rFonts w:hint="eastAsia"/>
                <w:color w:val="auto"/>
                <w:sz w:val="24"/>
                <w:lang w:val="en-US" w:eastAsia="zh-CN"/>
              </w:rPr>
              <w:t>m</w:t>
            </w:r>
            <w:r>
              <w:rPr>
                <w:rFonts w:hint="eastAsia"/>
                <w:color w:val="auto"/>
                <w:sz w:val="24"/>
                <w:vertAlign w:val="superscript"/>
                <w:lang w:val="en-US" w:eastAsia="zh-CN"/>
              </w:rPr>
              <w:t>2</w:t>
            </w:r>
            <w:r>
              <w:rPr>
                <w:rFonts w:hint="eastAsia"/>
                <w:color w:val="auto"/>
                <w:sz w:val="24"/>
              </w:rPr>
              <w:t>·次</w:t>
            </w:r>
            <w:r>
              <w:rPr>
                <w:rFonts w:hint="eastAsia"/>
                <w:color w:val="auto"/>
                <w:sz w:val="24"/>
                <w:lang w:eastAsia="zh-CN"/>
              </w:rPr>
              <w:t>，</w:t>
            </w:r>
            <w:r>
              <w:rPr>
                <w:rFonts w:hint="eastAsia"/>
                <w:color w:val="auto"/>
                <w:sz w:val="24"/>
                <w:lang w:val="en-US" w:eastAsia="zh-CN"/>
              </w:rPr>
              <w:t>清洗面积约为500m</w:t>
            </w:r>
            <w:r>
              <w:rPr>
                <w:rFonts w:hint="eastAsia"/>
                <w:color w:val="auto"/>
                <w:sz w:val="24"/>
                <w:vertAlign w:val="superscript"/>
                <w:lang w:val="en-US" w:eastAsia="zh-CN"/>
              </w:rPr>
              <w:t>2</w:t>
            </w:r>
            <w:r>
              <w:rPr>
                <w:rFonts w:hint="eastAsia"/>
                <w:color w:val="auto"/>
                <w:sz w:val="24"/>
                <w:vertAlign w:val="baseline"/>
                <w:lang w:val="en-US" w:eastAsia="zh-CN"/>
              </w:rPr>
              <w:t>，清洗次数取1次/1d；则</w:t>
            </w:r>
            <w:r>
              <w:rPr>
                <w:rFonts w:hint="eastAsia"/>
                <w:color w:val="auto"/>
                <w:sz w:val="24"/>
                <w:lang w:val="en-US" w:eastAsia="zh-CN"/>
              </w:rPr>
              <w:t>拖布清洗方式用水量为660.3</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val="en-US" w:eastAsia="zh-CN"/>
              </w:rPr>
              <w:t>1.81</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直接水冲洗方式用水量为912.5</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val="en-US" w:eastAsia="zh-CN"/>
              </w:rPr>
              <w:t>2.5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。产污系数按用水量的80%计，则拖布清洗方式污水产生量为528.2m³/a（1.45m³/d）；直接水冲洗方式污水产生量为730m³/a（2m³/d）；拖布清洗废水排入自建污水处理站处理，直接冲洗废水排入消毒池进行消毒预处理。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④烟气处理设施急冷装置循环冷却水用水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250℃-450℃温度断是二噁英重新生成的温度区间，为了控制二噁英的生成，遗体火化烟气和遗物祭品焚烧烟气必须瞬间降温，配套的烟气处理设施都有急冷装置，利用冷却水间接冷却，在短时间内（&gt;2s）迅速带走热量，使烟气温度急速下降至200℃以下（约195℃）</w:t>
            </w:r>
            <w:r>
              <w:rPr>
                <w:rFonts w:hint="eastAsia"/>
                <w:color w:val="auto"/>
                <w:sz w:val="24"/>
                <w:lang w:eastAsia="zh-CN"/>
              </w:rPr>
              <w:t>；</w:t>
            </w:r>
            <w:r>
              <w:rPr>
                <w:rFonts w:hint="eastAsia"/>
                <w:color w:val="auto"/>
                <w:sz w:val="24"/>
                <w:lang w:val="en-US" w:eastAsia="zh-CN"/>
              </w:rPr>
              <w:t>吸收热量后的循环水被加热，经冷却塔冷却后循环使用。</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烟气急冷装置间接冷却产生的冷凝水循环使用；</w:t>
            </w:r>
            <w:r>
              <w:rPr>
                <w:rFonts w:hint="eastAsia" w:ascii="Times New Roman" w:hAnsi="Times New Roman" w:eastAsia="宋体" w:cs="Times New Roman"/>
                <w:bCs/>
                <w:color w:val="auto"/>
                <w:kern w:val="2"/>
                <w:sz w:val="24"/>
                <w:szCs w:val="20"/>
                <w:lang w:val="en-US" w:eastAsia="zh-CN" w:bidi="ar"/>
              </w:rPr>
              <w:t>本项目冷却循环水采用原水，敞开式循环冷却水系统水冷器一般情况下主要发生以下三方面的故障：腐蚀问题、结垢问题、生物粘泥问题；为确保生产装置正常运行，循环冷却水中投加一定量的化学品（水处理剂）来减少或延缓由于冷却水造成水冷器的腐蚀、结垢及生物粘液等障碍；为了保证水处理效果，必须控制一定的排污量，控制浓缩倍数</w:t>
            </w:r>
            <w:r>
              <w:rPr>
                <w:rFonts w:hint="eastAsia" w:cs="Times New Roman"/>
                <w:bCs/>
                <w:color w:val="auto"/>
                <w:kern w:val="2"/>
                <w:sz w:val="24"/>
                <w:szCs w:val="20"/>
                <w:lang w:val="en-US" w:eastAsia="zh-CN" w:bidi="ar"/>
              </w:rPr>
              <w:t>；本项目</w:t>
            </w:r>
            <w:r>
              <w:rPr>
                <w:rFonts w:hint="eastAsia" w:ascii="Times New Roman" w:hAnsi="Times New Roman" w:eastAsia="宋体" w:cs="Times New Roman"/>
                <w:bCs/>
                <w:color w:val="auto"/>
                <w:kern w:val="2"/>
                <w:sz w:val="24"/>
                <w:szCs w:val="20"/>
                <w:lang w:val="en-US" w:eastAsia="zh-CN" w:bidi="ar"/>
              </w:rPr>
              <w:t>采取连续加药、连续补充、连续排污等运行管理措施。</w:t>
            </w:r>
            <w:r>
              <w:rPr>
                <w:rFonts w:hint="eastAsia"/>
                <w:color w:val="auto"/>
                <w:sz w:val="24"/>
              </w:rPr>
              <w:t>烟气急冷装置配套的冷却水循环系统水量损失包括三部分：蒸发、风吹、排污损失。</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其中：Q</w:t>
            </w:r>
            <w:r>
              <w:rPr>
                <w:rFonts w:hint="eastAsia"/>
                <w:color w:val="auto"/>
                <w:sz w:val="24"/>
                <w:vertAlign w:val="subscript"/>
              </w:rPr>
              <w:t>蒸发</w:t>
            </w:r>
            <w:r>
              <w:rPr>
                <w:rFonts w:hint="eastAsia"/>
                <w:color w:val="auto"/>
                <w:sz w:val="24"/>
              </w:rPr>
              <w:t>=KΔtQ（K为热力系数，取0.0014/℃；Δt为冷却塔进出水温度差，取5℃；Q为循环水量，为200m</w:t>
            </w:r>
            <w:r>
              <w:rPr>
                <w:rFonts w:hint="eastAsia"/>
                <w:color w:val="auto"/>
                <w:sz w:val="24"/>
                <w:vertAlign w:val="superscript"/>
              </w:rPr>
              <w:t>3</w:t>
            </w:r>
            <w:r>
              <w:rPr>
                <w:rFonts w:hint="eastAsia"/>
                <w:color w:val="auto"/>
                <w:sz w:val="24"/>
              </w:rPr>
              <w:t>/h），则Q</w:t>
            </w:r>
            <w:r>
              <w:rPr>
                <w:rFonts w:hint="eastAsia"/>
                <w:color w:val="auto"/>
                <w:sz w:val="24"/>
                <w:vertAlign w:val="subscript"/>
              </w:rPr>
              <w:t>蒸发</w:t>
            </w:r>
            <w:r>
              <w:rPr>
                <w:rFonts w:hint="eastAsia"/>
                <w:color w:val="auto"/>
                <w:sz w:val="24"/>
              </w:rPr>
              <w:t>=1.4 m</w:t>
            </w:r>
            <w:r>
              <w:rPr>
                <w:rFonts w:hint="eastAsia"/>
                <w:color w:val="auto"/>
                <w:sz w:val="24"/>
                <w:vertAlign w:val="superscript"/>
              </w:rPr>
              <w:t>3</w:t>
            </w:r>
            <w:r>
              <w:rPr>
                <w:rFonts w:hint="eastAsia"/>
                <w:color w:val="auto"/>
                <w:sz w:val="24"/>
              </w:rPr>
              <w:t>/h。</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对于有除水器的机械通风冷却塔，风吹损失量为Q</w:t>
            </w:r>
            <w:r>
              <w:rPr>
                <w:rFonts w:hint="eastAsia"/>
                <w:color w:val="auto"/>
                <w:sz w:val="24"/>
                <w:vertAlign w:val="subscript"/>
              </w:rPr>
              <w:t>风吹</w:t>
            </w:r>
            <w:r>
              <w:rPr>
                <w:rFonts w:hint="eastAsia"/>
                <w:color w:val="auto"/>
                <w:sz w:val="24"/>
              </w:rPr>
              <w:t>=0.1%Q（Q为循环水量，为200m</w:t>
            </w:r>
            <w:r>
              <w:rPr>
                <w:rFonts w:hint="eastAsia"/>
                <w:color w:val="auto"/>
                <w:sz w:val="24"/>
                <w:vertAlign w:val="superscript"/>
              </w:rPr>
              <w:t>3</w:t>
            </w:r>
            <w:r>
              <w:rPr>
                <w:rFonts w:hint="eastAsia"/>
                <w:color w:val="auto"/>
                <w:sz w:val="24"/>
              </w:rPr>
              <w:t>/h），则Q</w:t>
            </w:r>
            <w:r>
              <w:rPr>
                <w:rFonts w:hint="eastAsia"/>
                <w:color w:val="auto"/>
                <w:sz w:val="24"/>
                <w:vertAlign w:val="subscript"/>
              </w:rPr>
              <w:t>风吹</w:t>
            </w:r>
            <w:r>
              <w:rPr>
                <w:rFonts w:hint="eastAsia"/>
                <w:color w:val="auto"/>
                <w:sz w:val="24"/>
              </w:rPr>
              <w:t>=0.2 m</w:t>
            </w:r>
            <w:r>
              <w:rPr>
                <w:rFonts w:hint="eastAsia"/>
                <w:color w:val="auto"/>
                <w:sz w:val="24"/>
                <w:vertAlign w:val="superscript"/>
              </w:rPr>
              <w:t>3</w:t>
            </w:r>
            <w:r>
              <w:rPr>
                <w:rFonts w:hint="eastAsia"/>
                <w:color w:val="auto"/>
                <w:sz w:val="24"/>
              </w:rPr>
              <w:t>/h。</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排污损失是比较机动的一项，它与循环冷却水质要求、处理方法、补充水的水质及循环水的浓缩倍数有关；本项目取浓缩倍数6；</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总补充水量Q</w:t>
            </w:r>
            <w:r>
              <w:rPr>
                <w:rFonts w:hint="eastAsia"/>
                <w:color w:val="auto"/>
                <w:sz w:val="24"/>
                <w:vertAlign w:val="subscript"/>
              </w:rPr>
              <w:t>总</w:t>
            </w:r>
            <w:r>
              <w:rPr>
                <w:rFonts w:hint="eastAsia"/>
                <w:color w:val="auto"/>
                <w:sz w:val="24"/>
              </w:rPr>
              <w:t>= Q</w:t>
            </w:r>
            <w:r>
              <w:rPr>
                <w:rFonts w:hint="eastAsia"/>
                <w:color w:val="auto"/>
                <w:sz w:val="24"/>
                <w:vertAlign w:val="subscript"/>
              </w:rPr>
              <w:t>蒸发</w:t>
            </w:r>
            <w:r>
              <w:rPr>
                <w:rFonts w:hint="eastAsia"/>
                <w:color w:val="auto"/>
                <w:sz w:val="24"/>
              </w:rPr>
              <w:t>N/(N-1)=1.68 m</w:t>
            </w:r>
            <w:r>
              <w:rPr>
                <w:rFonts w:hint="eastAsia"/>
                <w:color w:val="auto"/>
                <w:sz w:val="24"/>
                <w:vertAlign w:val="superscript"/>
              </w:rPr>
              <w:t>3</w:t>
            </w:r>
            <w:r>
              <w:rPr>
                <w:rFonts w:hint="eastAsia"/>
                <w:color w:val="auto"/>
                <w:sz w:val="24"/>
              </w:rPr>
              <w:t>/h；</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Q</w:t>
            </w:r>
            <w:r>
              <w:rPr>
                <w:rFonts w:hint="eastAsia"/>
                <w:color w:val="auto"/>
                <w:sz w:val="24"/>
                <w:vertAlign w:val="subscript"/>
              </w:rPr>
              <w:t>排污</w:t>
            </w:r>
            <w:r>
              <w:rPr>
                <w:rFonts w:hint="eastAsia"/>
                <w:color w:val="auto"/>
                <w:sz w:val="24"/>
              </w:rPr>
              <w:t>=1.68-1.4-0.2=0.08 m</w:t>
            </w:r>
            <w:r>
              <w:rPr>
                <w:rFonts w:hint="eastAsia"/>
                <w:color w:val="auto"/>
                <w:sz w:val="24"/>
                <w:vertAlign w:val="superscript"/>
              </w:rPr>
              <w:t>3</w:t>
            </w:r>
            <w:r>
              <w:rPr>
                <w:rFonts w:hint="eastAsia"/>
                <w:color w:val="auto"/>
                <w:sz w:val="24"/>
              </w:rPr>
              <w:t>/h；</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遗体火化一般情况下仅在上午进行，单具遗体火化时间约为45min，本项目殡仪馆每日遗体火化以6具计，则总计耗时约4.5h；则烟气急冷装置配套的冷却水循环系统补充水量为7.56m</w:t>
            </w:r>
            <w:r>
              <w:rPr>
                <w:rFonts w:hint="eastAsia"/>
                <w:color w:val="auto"/>
                <w:sz w:val="24"/>
                <w:vertAlign w:val="superscript"/>
              </w:rPr>
              <w:t>3</w:t>
            </w:r>
            <w:r>
              <w:rPr>
                <w:rFonts w:hint="eastAsia"/>
                <w:color w:val="auto"/>
                <w:sz w:val="24"/>
              </w:rPr>
              <w:t>/d，排污水量为0.36 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排污水经排污泵泵入污水管沟，进入自建的污水处理站处理。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⑤绿化用水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本项目绿化面积为</w:t>
            </w:r>
            <w:r>
              <w:rPr>
                <w:rFonts w:hint="eastAsia"/>
                <w:bCs/>
                <w:color w:val="auto"/>
                <w:sz w:val="24"/>
                <w:lang w:val="en-US" w:eastAsia="zh-CN"/>
              </w:rPr>
              <w:t>8093.05</w:t>
            </w:r>
            <w:r>
              <w:rPr>
                <w:rFonts w:hint="eastAsia"/>
                <w:color w:val="auto"/>
                <w:sz w:val="24"/>
              </w:rPr>
              <w:t>m</w:t>
            </w:r>
            <w:r>
              <w:rPr>
                <w:rFonts w:hint="eastAsia"/>
                <w:color w:val="auto"/>
                <w:sz w:val="24"/>
                <w:vertAlign w:val="superscript"/>
              </w:rPr>
              <w:t>2</w:t>
            </w:r>
            <w:r>
              <w:rPr>
                <w:rFonts w:hint="eastAsia"/>
                <w:color w:val="auto"/>
                <w:sz w:val="24"/>
              </w:rPr>
              <w:t>，</w:t>
            </w:r>
            <w:r>
              <w:rPr>
                <w:rFonts w:hint="eastAsia"/>
                <w:color w:val="auto"/>
                <w:sz w:val="24"/>
                <w:lang w:val="en-US" w:eastAsia="zh-CN"/>
              </w:rPr>
              <w:t>参考《山西省用水定额第3部分：服务业用水定额》（DB14/T1049.3-2021）绿化管理用水定额先进值为1.5L/(m</w:t>
            </w:r>
            <w:r>
              <w:rPr>
                <w:rFonts w:hint="eastAsia"/>
                <w:color w:val="auto"/>
                <w:sz w:val="24"/>
                <w:vertAlign w:val="superscript"/>
                <w:lang w:val="en-US" w:eastAsia="zh-CN"/>
              </w:rPr>
              <w:t>2</w:t>
            </w:r>
            <w:r>
              <w:rPr>
                <w:rFonts w:hint="eastAsia"/>
                <w:color w:val="auto"/>
                <w:sz w:val="24"/>
                <w:lang w:val="en-US" w:eastAsia="zh-CN"/>
              </w:rPr>
              <w:t>·d)，则本项目绿化用水耗水量为12.14m</w:t>
            </w:r>
            <w:r>
              <w:rPr>
                <w:rFonts w:hint="eastAsia"/>
                <w:color w:val="auto"/>
                <w:sz w:val="24"/>
                <w:vertAlign w:val="superscript"/>
                <w:lang w:val="en-US" w:eastAsia="zh-CN"/>
              </w:rPr>
              <w:t>3</w:t>
            </w:r>
            <w:r>
              <w:rPr>
                <w:rFonts w:hint="eastAsia"/>
                <w:color w:val="auto"/>
                <w:sz w:val="24"/>
                <w:vertAlign w:val="baseline"/>
                <w:lang w:val="en-US" w:eastAsia="zh-CN"/>
              </w:rPr>
              <w:t>/d</w:t>
            </w:r>
            <w:r>
              <w:rPr>
                <w:rFonts w:hint="eastAsia"/>
                <w:color w:val="auto"/>
                <w:sz w:val="24"/>
              </w:rPr>
              <w:t>。本项目产生的废水经污水处理站处理后非采暖期（5月至10月）可用于道路浇洒及绿化浇灌，则绿化回用水量为</w:t>
            </w:r>
            <w:r>
              <w:rPr>
                <w:rFonts w:hint="eastAsia"/>
                <w:color w:val="auto"/>
                <w:sz w:val="24"/>
                <w:lang w:val="en-US" w:eastAsia="zh-CN"/>
              </w:rPr>
              <w:t>11.57</w:t>
            </w:r>
            <w:r>
              <w:rPr>
                <w:rFonts w:hint="eastAsia"/>
                <w:color w:val="auto"/>
                <w:sz w:val="24"/>
              </w:rPr>
              <w:t>m</w:t>
            </w:r>
            <w:r>
              <w:rPr>
                <w:rFonts w:hint="eastAsia"/>
                <w:color w:val="auto"/>
                <w:sz w:val="24"/>
                <w:vertAlign w:val="superscript"/>
              </w:rPr>
              <w:t>3</w:t>
            </w:r>
            <w:r>
              <w:rPr>
                <w:rFonts w:hint="eastAsia"/>
                <w:color w:val="auto"/>
                <w:sz w:val="24"/>
              </w:rPr>
              <w:t>/d，新鲜水用水量为</w:t>
            </w:r>
            <w:r>
              <w:rPr>
                <w:rFonts w:hint="eastAsia"/>
                <w:color w:val="auto"/>
                <w:sz w:val="24"/>
                <w:lang w:val="en-US" w:eastAsia="zh-CN"/>
              </w:rPr>
              <w:t>104</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val="en-US" w:eastAsia="zh-CN"/>
              </w:rPr>
              <w:t>0.57</w:t>
            </w:r>
            <w:r>
              <w:rPr>
                <w:rFonts w:hint="eastAsia"/>
                <w:color w:val="auto"/>
                <w:sz w:val="24"/>
              </w:rPr>
              <w:t>m</w:t>
            </w:r>
            <w:r>
              <w:rPr>
                <w:rFonts w:hint="eastAsia"/>
                <w:color w:val="auto"/>
                <w:sz w:val="24"/>
                <w:vertAlign w:val="superscript"/>
              </w:rPr>
              <w:t>3</w:t>
            </w:r>
            <w:r>
              <w:rPr>
                <w:rFonts w:hint="eastAsia"/>
                <w:color w:val="auto"/>
                <w:sz w:val="24"/>
              </w:rPr>
              <w:t>/d，非采暖期）。</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lang w:val="en-US" w:eastAsia="zh-CN"/>
              </w:rPr>
              <w:t>⑥</w:t>
            </w:r>
            <w:r>
              <w:rPr>
                <w:rFonts w:hint="eastAsia"/>
                <w:b/>
                <w:bCs/>
                <w:color w:val="auto"/>
                <w:sz w:val="24"/>
              </w:rPr>
              <w:t>来访人员及工作人员用水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lang w:val="en-US" w:eastAsia="zh-CN"/>
              </w:rPr>
            </w:pPr>
            <w:r>
              <w:rPr>
                <w:rFonts w:hint="eastAsia"/>
                <w:color w:val="auto"/>
                <w:sz w:val="24"/>
              </w:rPr>
              <w:t>目前五台县尚未定编县级殡仪馆定员，环评时项目运营期暂拟按工作人员30人计算产排污量；</w:t>
            </w:r>
            <w:r>
              <w:rPr>
                <w:rFonts w:hint="eastAsia"/>
                <w:color w:val="auto"/>
                <w:sz w:val="24"/>
                <w:lang w:val="en-US" w:eastAsia="zh-CN"/>
              </w:rPr>
              <w:t>参考《山西省用水定额第4部分：居民生活用水定额》（DB14/T</w:t>
            </w:r>
          </w:p>
          <w:p>
            <w:pPr>
              <w:keepNext w:val="0"/>
              <w:keepLines w:val="0"/>
              <w:suppressLineNumbers w:val="0"/>
              <w:adjustRightInd w:val="0"/>
              <w:snapToGrid w:val="0"/>
              <w:spacing w:before="0" w:beforeAutospacing="0" w:after="0" w:afterAutospacing="0" w:line="480" w:lineRule="exact"/>
              <w:ind w:left="0" w:right="0"/>
              <w:rPr>
                <w:rFonts w:hint="eastAsia"/>
                <w:color w:val="auto"/>
                <w:sz w:val="24"/>
              </w:rPr>
            </w:pPr>
            <w:r>
              <w:rPr>
                <w:rFonts w:hint="eastAsia"/>
                <w:color w:val="auto"/>
                <w:sz w:val="24"/>
                <w:lang w:val="en-US" w:eastAsia="zh-CN"/>
              </w:rPr>
              <w:t>1049.4-2021）50万以下人口小城市-室内有给排水卫生设备和淋浴设备用水定额，为</w:t>
            </w:r>
            <w:r>
              <w:rPr>
                <w:rFonts w:hint="eastAsia"/>
                <w:color w:val="auto"/>
                <w:sz w:val="24"/>
              </w:rPr>
              <w:t>120L/(p·d)，则工作人员生活用水量为1314m</w:t>
            </w:r>
            <w:r>
              <w:rPr>
                <w:rFonts w:hint="eastAsia"/>
                <w:color w:val="auto"/>
                <w:sz w:val="24"/>
                <w:vertAlign w:val="superscript"/>
              </w:rPr>
              <w:t>3</w:t>
            </w:r>
            <w:r>
              <w:rPr>
                <w:rFonts w:hint="eastAsia"/>
                <w:color w:val="auto"/>
                <w:sz w:val="24"/>
              </w:rPr>
              <w:t>/a（3.6m</w:t>
            </w:r>
            <w:r>
              <w:rPr>
                <w:rFonts w:hint="eastAsia"/>
                <w:color w:val="auto"/>
                <w:sz w:val="24"/>
                <w:vertAlign w:val="superscript"/>
              </w:rPr>
              <w:t>3</w:t>
            </w:r>
            <w:r>
              <w:rPr>
                <w:rFonts w:hint="eastAsia"/>
                <w:color w:val="auto"/>
                <w:sz w:val="24"/>
              </w:rPr>
              <w:t>/d），产污系数按用水量的80%计，则污水产生量为1051.2m³/a（2.88m³/d）。</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本项目最高年服务能力为每年火化2190具遗体并通过配套的殡葬服务（本项目不提供餐饮服务），按一天每个悼念厅一场悼念会，一场50人来计算，悼念、来访人员的用水量按10L/人</w:t>
            </w:r>
            <w:r>
              <w:rPr>
                <w:rFonts w:hint="eastAsia"/>
                <w:bCs/>
                <w:color w:val="auto"/>
                <w:sz w:val="24"/>
              </w:rPr>
              <w:t>·d计，每天悼念、</w:t>
            </w:r>
            <w:r>
              <w:rPr>
                <w:rFonts w:hint="eastAsia"/>
                <w:color w:val="auto"/>
                <w:sz w:val="24"/>
              </w:rPr>
              <w:t>来访</w:t>
            </w:r>
            <w:r>
              <w:rPr>
                <w:rFonts w:hint="eastAsia"/>
                <w:bCs/>
                <w:color w:val="auto"/>
                <w:sz w:val="24"/>
              </w:rPr>
              <w:t>人员为300人。</w:t>
            </w:r>
            <w:r>
              <w:rPr>
                <w:rFonts w:hint="eastAsia"/>
                <w:color w:val="auto"/>
                <w:sz w:val="24"/>
              </w:rPr>
              <w:t>则悼念、来访人员生活用水量为1095 m</w:t>
            </w:r>
            <w:r>
              <w:rPr>
                <w:rFonts w:hint="eastAsia"/>
                <w:color w:val="auto"/>
                <w:sz w:val="24"/>
                <w:vertAlign w:val="superscript"/>
              </w:rPr>
              <w:t>3</w:t>
            </w:r>
            <w:r>
              <w:rPr>
                <w:rFonts w:hint="eastAsia"/>
                <w:color w:val="auto"/>
                <w:sz w:val="24"/>
              </w:rPr>
              <w:t>/a（3 m</w:t>
            </w:r>
            <w:r>
              <w:rPr>
                <w:rFonts w:hint="eastAsia"/>
                <w:color w:val="auto"/>
                <w:sz w:val="24"/>
                <w:vertAlign w:val="superscript"/>
              </w:rPr>
              <w:t>3</w:t>
            </w:r>
            <w:r>
              <w:rPr>
                <w:rFonts w:hint="eastAsia"/>
                <w:color w:val="auto"/>
                <w:sz w:val="24"/>
              </w:rPr>
              <w:t>/d），产污系数按用水量的80%计，则污水产生量为876m³/a（2.4m³/d）</w:t>
            </w:r>
            <w:r>
              <w:rPr>
                <w:rFonts w:hint="eastAsia"/>
                <w:color w:val="auto"/>
                <w:sz w:val="24"/>
                <w:lang w:eastAsia="zh-CN"/>
              </w:rPr>
              <w:t>；</w:t>
            </w:r>
            <w:r>
              <w:rPr>
                <w:rFonts w:hint="eastAsia"/>
                <w:color w:val="auto"/>
                <w:sz w:val="24"/>
                <w:lang w:val="en-US" w:eastAsia="zh-CN"/>
              </w:rPr>
              <w:t>生活污水排入自建污水处理站处理。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（2）排水工程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运营期场区采取雨、污分流制，厂内地面雨水由道路两侧雨水沟收集，屋面雨水均经屋面雨水天沟、雨水斗收集后，沿外墙外侧雨水管排下，经雨水管网收集后直接排放至场外道路沿线排水沟。</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本项目主要废水为遗体处置清洗、消毒废水，专用殡仪车辆清洗、消毒废水</w:t>
            </w:r>
            <w:r>
              <w:rPr>
                <w:rFonts w:hint="eastAsia"/>
                <w:color w:val="auto"/>
                <w:sz w:val="24"/>
                <w:lang w:eastAsia="zh-CN"/>
              </w:rPr>
              <w:t>，</w:t>
            </w:r>
            <w:r>
              <w:rPr>
                <w:rFonts w:hint="eastAsia"/>
                <w:color w:val="auto"/>
                <w:sz w:val="24"/>
                <w:lang w:val="en-US" w:eastAsia="zh-CN"/>
              </w:rPr>
              <w:t>地坪清洗废水，循环冷却水用水定排水</w:t>
            </w:r>
            <w:r>
              <w:rPr>
                <w:rFonts w:hint="eastAsia"/>
                <w:color w:val="auto"/>
                <w:sz w:val="24"/>
              </w:rPr>
              <w:t>和生活污水；其中遗体处置清洗、消毒废水，专用殡仪车辆清洗、消毒废水</w:t>
            </w:r>
            <w:r>
              <w:rPr>
                <w:rFonts w:hint="eastAsia"/>
                <w:color w:val="auto"/>
                <w:sz w:val="24"/>
                <w:lang w:val="en-US" w:eastAsia="zh-CN"/>
              </w:rPr>
              <w:t>以及地坪清洗废水中的直接冲洗废水</w:t>
            </w:r>
            <w:r>
              <w:rPr>
                <w:rFonts w:hint="eastAsia"/>
                <w:color w:val="auto"/>
                <w:sz w:val="24"/>
                <w:lang w:eastAsia="zh-CN"/>
              </w:rPr>
              <w:t>，</w:t>
            </w:r>
            <w:r>
              <w:rPr>
                <w:rFonts w:hint="eastAsia"/>
                <w:color w:val="auto"/>
                <w:sz w:val="24"/>
              </w:rPr>
              <w:t>经消毒池预处理后，与其他生活污水一同进入自建污水处理站处理</w:t>
            </w:r>
            <w:r>
              <w:rPr>
                <w:rFonts w:hint="eastAsia"/>
                <w:color w:val="auto"/>
                <w:sz w:val="24"/>
                <w:lang w:eastAsia="zh-CN"/>
              </w:rPr>
              <w:t>；</w:t>
            </w:r>
            <w:r>
              <w:rPr>
                <w:rFonts w:hint="eastAsia"/>
                <w:color w:val="auto"/>
                <w:sz w:val="24"/>
                <w:lang w:val="en-US" w:eastAsia="zh-CN"/>
              </w:rPr>
              <w:t>需消毒预处理的废水主要产生于遗体处置室、殡仪车辆专用车位</w:t>
            </w:r>
            <w:r>
              <w:rPr>
                <w:rFonts w:hint="eastAsia"/>
                <w:color w:val="auto"/>
                <w:sz w:val="24"/>
              </w:rPr>
              <w:t>。本项目产生的废水经污水处理站处理后非采暖期（5月至10月）可用于道路浇洒及绿化浇灌，采暖期（11月-4月）定期统一</w:t>
            </w:r>
            <w:r>
              <w:rPr>
                <w:rFonts w:hint="eastAsia"/>
                <w:bCs/>
                <w:color w:val="auto"/>
                <w:sz w:val="24"/>
              </w:rPr>
              <w:t>由罐车</w:t>
            </w:r>
            <w:r>
              <w:rPr>
                <w:rFonts w:hint="eastAsia"/>
                <w:color w:val="auto"/>
                <w:sz w:val="24"/>
              </w:rPr>
              <w:t>抽送至五台县生活污水处理厂。本项目委托污水处理厂罐车进行污水抽送，不自备污水罐车。</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本项目给排水情况见表2-5。</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表2-5  本项目给排水平衡一览表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612"/>
              <w:gridCol w:w="1310"/>
              <w:gridCol w:w="1019"/>
              <w:gridCol w:w="1019"/>
              <w:gridCol w:w="1019"/>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序号</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用水单元</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定额</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用水量m</w:t>
                  </w:r>
                  <w:r>
                    <w:rPr>
                      <w:rFonts w:hint="eastAsia" w:eastAsia="宋体"/>
                      <w:color w:val="auto"/>
                      <w:sz w:val="21"/>
                      <w:szCs w:val="21"/>
                      <w:vertAlign w:val="superscript"/>
                    </w:rPr>
                    <w:t>3</w:t>
                  </w:r>
                  <w:r>
                    <w:rPr>
                      <w:rFonts w:hint="eastAsia" w:eastAsia="宋体"/>
                      <w:color w:val="auto"/>
                      <w:sz w:val="21"/>
                      <w:szCs w:val="21"/>
                    </w:rPr>
                    <w:t>/d</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回用水量m</w:t>
                  </w:r>
                  <w:r>
                    <w:rPr>
                      <w:rFonts w:hint="eastAsia" w:eastAsia="宋体"/>
                      <w:color w:val="auto"/>
                      <w:sz w:val="21"/>
                      <w:szCs w:val="21"/>
                      <w:vertAlign w:val="superscript"/>
                    </w:rPr>
                    <w:t>3</w:t>
                  </w:r>
                  <w:r>
                    <w:rPr>
                      <w:rFonts w:hint="eastAsia" w:eastAsia="宋体"/>
                      <w:color w:val="auto"/>
                      <w:sz w:val="21"/>
                      <w:szCs w:val="21"/>
                    </w:rPr>
                    <w:t>/d</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排水量</w:t>
                  </w:r>
                </w:p>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m</w:t>
                  </w:r>
                  <w:r>
                    <w:rPr>
                      <w:rFonts w:hint="eastAsia" w:eastAsia="宋体"/>
                      <w:color w:val="auto"/>
                      <w:sz w:val="21"/>
                      <w:szCs w:val="21"/>
                      <w:vertAlign w:val="superscript"/>
                    </w:rPr>
                    <w:t>3</w:t>
                  </w:r>
                  <w:r>
                    <w:rPr>
                      <w:rFonts w:hint="eastAsia" w:eastAsia="宋体"/>
                      <w:color w:val="auto"/>
                      <w:sz w:val="21"/>
                      <w:szCs w:val="21"/>
                    </w:rPr>
                    <w:t>/d</w:t>
                  </w:r>
                </w:p>
              </w:tc>
              <w:tc>
                <w:tcPr>
                  <w:tcW w:w="1274"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1</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遗体处置清洗、消毒用水</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0.3 m</w:t>
                  </w:r>
                  <w:r>
                    <w:rPr>
                      <w:rFonts w:hint="eastAsia" w:eastAsia="宋体"/>
                      <w:color w:val="auto"/>
                      <w:sz w:val="21"/>
                      <w:szCs w:val="21"/>
                      <w:vertAlign w:val="superscript"/>
                    </w:rPr>
                    <w:t>3</w:t>
                  </w:r>
                  <w:r>
                    <w:rPr>
                      <w:rFonts w:hint="eastAsia" w:eastAsia="宋体"/>
                      <w:color w:val="auto"/>
                      <w:sz w:val="21"/>
                      <w:szCs w:val="21"/>
                    </w:rPr>
                    <w:t>/具</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1.8</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0</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1.44</w:t>
                  </w:r>
                </w:p>
              </w:tc>
              <w:tc>
                <w:tcPr>
                  <w:tcW w:w="1274" w:type="pct"/>
                  <w:vMerge w:val="restar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经消毒池预处理后进入与生活污水共同由自建污水处理站处理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2</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专用殡仪车辆清洗、消毒用水</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lang w:val="en-US" w:eastAsia="zh-CN"/>
                    </w:rPr>
                    <w:t>6</w:t>
                  </w:r>
                  <w:r>
                    <w:rPr>
                      <w:rFonts w:hint="eastAsia" w:eastAsia="宋体"/>
                      <w:color w:val="auto"/>
                      <w:sz w:val="21"/>
                      <w:szCs w:val="21"/>
                    </w:rPr>
                    <w:t>0L/辆·次</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rPr>
                    <w:t>0.</w:t>
                  </w:r>
                  <w:r>
                    <w:rPr>
                      <w:rFonts w:hint="eastAsia" w:eastAsia="宋体"/>
                      <w:color w:val="auto"/>
                      <w:sz w:val="21"/>
                      <w:szCs w:val="21"/>
                      <w:lang w:val="en-US" w:eastAsia="zh-CN"/>
                    </w:rPr>
                    <w:t>36</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0</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rPr>
                    <w:t>0.</w:t>
                  </w:r>
                  <w:r>
                    <w:rPr>
                      <w:rFonts w:hint="eastAsia" w:eastAsia="宋体"/>
                      <w:color w:val="auto"/>
                      <w:sz w:val="21"/>
                      <w:szCs w:val="21"/>
                      <w:lang w:val="en-US" w:eastAsia="zh-CN"/>
                    </w:rPr>
                    <w:t>29</w:t>
                  </w:r>
                </w:p>
              </w:tc>
              <w:tc>
                <w:tcPr>
                  <w:tcW w:w="1274"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3</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地坪清洗用水-直接冲洗</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5L/m</w:t>
                  </w:r>
                  <w:r>
                    <w:rPr>
                      <w:rFonts w:hint="eastAsia" w:eastAsia="宋体"/>
                      <w:color w:val="auto"/>
                      <w:sz w:val="21"/>
                      <w:szCs w:val="21"/>
                      <w:vertAlign w:val="superscript"/>
                      <w:lang w:val="en-US" w:eastAsia="zh-CN"/>
                    </w:rPr>
                    <w:t>2</w:t>
                  </w:r>
                  <w:r>
                    <w:rPr>
                      <w:rFonts w:hint="eastAsia" w:eastAsia="宋体"/>
                      <w:color w:val="auto"/>
                      <w:sz w:val="21"/>
                      <w:szCs w:val="21"/>
                      <w:lang w:val="en-US" w:eastAsia="zh-CN"/>
                    </w:rPr>
                    <w:t>·次</w:t>
                  </w:r>
                </w:p>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1次/1d</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2.5</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0</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2</w:t>
                  </w:r>
                </w:p>
              </w:tc>
              <w:tc>
                <w:tcPr>
                  <w:tcW w:w="1274"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地坪清洗用水-拖布清洗</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3L/m</w:t>
                  </w:r>
                  <w:r>
                    <w:rPr>
                      <w:rFonts w:hint="eastAsia" w:eastAsia="宋体"/>
                      <w:color w:val="auto"/>
                      <w:sz w:val="21"/>
                      <w:szCs w:val="21"/>
                      <w:vertAlign w:val="superscript"/>
                      <w:lang w:val="en-US" w:eastAsia="zh-CN"/>
                    </w:rPr>
                    <w:t>2</w:t>
                  </w:r>
                  <w:r>
                    <w:rPr>
                      <w:rFonts w:hint="eastAsia" w:eastAsia="宋体"/>
                      <w:color w:val="auto"/>
                      <w:sz w:val="21"/>
                      <w:szCs w:val="21"/>
                      <w:lang w:val="en-US" w:eastAsia="zh-CN"/>
                    </w:rPr>
                    <w:t>·次</w:t>
                  </w:r>
                </w:p>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1次/7d</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1.81</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0</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1.45</w:t>
                  </w:r>
                </w:p>
              </w:tc>
              <w:tc>
                <w:tcPr>
                  <w:tcW w:w="1274" w:type="pct"/>
                  <w:vMerge w:val="restar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经污水处理站处理后非采暖期（5月至10月）可用于道路浇洒及绿化浇灌，采暖期（11月-4月）定期统一由罐车抽送至五台县生活污水处理厂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eastAsia="zh-CN"/>
                    </w:rPr>
                  </w:pPr>
                  <w:r>
                    <w:rPr>
                      <w:rFonts w:hint="eastAsia" w:eastAsia="宋体"/>
                      <w:color w:val="auto"/>
                      <w:sz w:val="21"/>
                      <w:szCs w:val="21"/>
                      <w:lang w:val="en-US" w:eastAsia="zh-CN"/>
                    </w:rPr>
                    <w:t>4</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烟气处理设施急冷装置循环冷却水用水</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7.56</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866</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0.36</w:t>
                  </w:r>
                </w:p>
              </w:tc>
              <w:tc>
                <w:tcPr>
                  <w:tcW w:w="1274"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eastAsia="zh-CN"/>
                    </w:rPr>
                  </w:pPr>
                  <w:r>
                    <w:rPr>
                      <w:rFonts w:hint="eastAsia" w:eastAsia="宋体"/>
                      <w:color w:val="auto"/>
                      <w:sz w:val="21"/>
                      <w:szCs w:val="21"/>
                      <w:lang w:eastAsia="zh-CN"/>
                    </w:rPr>
                    <w:t>5</w:t>
                  </w:r>
                </w:p>
              </w:tc>
              <w:tc>
                <w:tcPr>
                  <w:tcW w:w="935"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工作人员生活用水</w:t>
                  </w:r>
                </w:p>
              </w:tc>
              <w:tc>
                <w:tcPr>
                  <w:tcW w:w="759"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bCs/>
                      <w:color w:val="auto"/>
                      <w:sz w:val="21"/>
                      <w:szCs w:val="21"/>
                    </w:rPr>
                    <w:t>120L/(p·d)</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3.6</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0</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2.88</w:t>
                  </w:r>
                </w:p>
              </w:tc>
              <w:tc>
                <w:tcPr>
                  <w:tcW w:w="1274"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rPr>
                  </w:pPr>
                </w:p>
              </w:tc>
              <w:tc>
                <w:tcPr>
                  <w:tcW w:w="935"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来访人员生活用水</w:t>
                  </w:r>
                </w:p>
              </w:tc>
              <w:tc>
                <w:tcPr>
                  <w:tcW w:w="759"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color w:val="auto"/>
                      <w:sz w:val="21"/>
                      <w:szCs w:val="21"/>
                    </w:rPr>
                    <w:t>10L</w:t>
                  </w:r>
                  <w:r>
                    <w:rPr>
                      <w:rFonts w:hint="eastAsia" w:eastAsia="宋体"/>
                      <w:bCs/>
                      <w:color w:val="auto"/>
                      <w:sz w:val="21"/>
                      <w:szCs w:val="21"/>
                    </w:rPr>
                    <w:t>/(p·d)</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3</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0</w:t>
                  </w:r>
                </w:p>
              </w:tc>
              <w:tc>
                <w:tcPr>
                  <w:tcW w:w="591" w:type="pct"/>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eastAsia="宋体"/>
                      <w:color w:val="auto"/>
                      <w:sz w:val="21"/>
                      <w:szCs w:val="21"/>
                    </w:rPr>
                  </w:pPr>
                  <w:r>
                    <w:rPr>
                      <w:rFonts w:hint="eastAsia" w:eastAsia="宋体"/>
                      <w:color w:val="auto"/>
                      <w:sz w:val="21"/>
                      <w:szCs w:val="21"/>
                    </w:rPr>
                    <w:t>2.4</w:t>
                  </w:r>
                </w:p>
              </w:tc>
              <w:tc>
                <w:tcPr>
                  <w:tcW w:w="1274"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eastAsia="zh-CN"/>
                    </w:rPr>
                  </w:pPr>
                  <w:r>
                    <w:rPr>
                      <w:rFonts w:hint="eastAsia" w:eastAsia="宋体"/>
                      <w:color w:val="auto"/>
                      <w:sz w:val="21"/>
                      <w:szCs w:val="21"/>
                      <w:lang w:val="en-US" w:eastAsia="zh-CN"/>
                    </w:rPr>
                    <w:t>6</w:t>
                  </w:r>
                </w:p>
              </w:tc>
              <w:tc>
                <w:tcPr>
                  <w:tcW w:w="935"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绿化用水</w:t>
                  </w:r>
                </w:p>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（非采暖期）</w:t>
                  </w:r>
                </w:p>
              </w:tc>
              <w:tc>
                <w:tcPr>
                  <w:tcW w:w="759"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1.5L</w:t>
                  </w:r>
                </w:p>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lang w:val="en-US" w:eastAsia="zh-CN"/>
                    </w:rPr>
                    <w:t>/(m</w:t>
                  </w:r>
                  <w:r>
                    <w:rPr>
                      <w:rFonts w:hint="eastAsia" w:eastAsia="宋体"/>
                      <w:color w:val="auto"/>
                      <w:sz w:val="21"/>
                      <w:szCs w:val="21"/>
                      <w:vertAlign w:val="superscript"/>
                      <w:lang w:val="en-US" w:eastAsia="zh-CN"/>
                    </w:rPr>
                    <w:t>2</w:t>
                  </w:r>
                  <w:r>
                    <w:rPr>
                      <w:rFonts w:hint="eastAsia" w:eastAsia="宋体"/>
                      <w:color w:val="auto"/>
                      <w:sz w:val="21"/>
                      <w:szCs w:val="21"/>
                      <w:lang w:val="en-US" w:eastAsia="zh-CN"/>
                    </w:rPr>
                    <w:t>·d)</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0.57</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11.57</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0</w:t>
                  </w:r>
                </w:p>
              </w:tc>
              <w:tc>
                <w:tcPr>
                  <w:tcW w:w="1274"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蒸发损失、植物吸收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lang w:eastAsia="zh-CN"/>
                    </w:rPr>
                  </w:pPr>
                  <w:r>
                    <w:rPr>
                      <w:rFonts w:hint="eastAsia" w:eastAsia="宋体"/>
                      <w:color w:val="auto"/>
                      <w:sz w:val="21"/>
                      <w:szCs w:val="21"/>
                      <w:lang w:val="en-US" w:eastAsia="zh-CN"/>
                    </w:rPr>
                    <w:t>7</w:t>
                  </w:r>
                </w:p>
              </w:tc>
              <w:tc>
                <w:tcPr>
                  <w:tcW w:w="1695" w:type="pct"/>
                  <w:gridSpan w:val="2"/>
                  <w:vAlign w:val="center"/>
                </w:tcPr>
                <w:p>
                  <w:pPr>
                    <w:pStyle w:val="59"/>
                    <w:keepNext w:val="0"/>
                    <w:keepLines w:val="0"/>
                    <w:suppressLineNumbers w:val="0"/>
                    <w:snapToGrid/>
                    <w:spacing w:before="0" w:beforeAutospacing="0" w:after="0" w:afterAutospacing="0" w:line="240" w:lineRule="auto"/>
                    <w:ind w:left="0" w:right="0"/>
                    <w:rPr>
                      <w:rFonts w:hint="eastAsia" w:eastAsia="宋体"/>
                      <w:bCs/>
                      <w:color w:val="auto"/>
                      <w:sz w:val="21"/>
                      <w:szCs w:val="21"/>
                    </w:rPr>
                  </w:pPr>
                  <w:r>
                    <w:rPr>
                      <w:rFonts w:hint="eastAsia" w:eastAsia="宋体"/>
                      <w:bCs/>
                      <w:color w:val="auto"/>
                      <w:sz w:val="21"/>
                      <w:szCs w:val="21"/>
                    </w:rPr>
                    <w:t>非采暖期合计</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21.2</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10.82</w:t>
                  </w:r>
                </w:p>
              </w:tc>
              <w:tc>
                <w:tcPr>
                  <w:tcW w:w="1274" w:type="pct"/>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r>
                    <w:rPr>
                      <w:rFonts w:hint="eastAsia" w:eastAsia="宋体"/>
                      <w:color w:val="auto"/>
                      <w:sz w:val="21"/>
                      <w:szCs w:val="21"/>
                    </w:rPr>
                    <w:t>非采暖期用于道路浇洒及绿化浇灌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pPr>
                    <w:pStyle w:val="59"/>
                    <w:keepNext w:val="0"/>
                    <w:keepLines w:val="0"/>
                    <w:suppressLineNumbers w:val="0"/>
                    <w:snapToGrid/>
                    <w:spacing w:before="0" w:beforeAutospacing="0" w:after="0" w:afterAutospacing="0" w:line="240" w:lineRule="auto"/>
                    <w:ind w:left="0" w:right="0"/>
                    <w:rPr>
                      <w:rFonts w:hint="eastAsia" w:eastAsia="宋体"/>
                      <w:color w:val="auto"/>
                      <w:sz w:val="21"/>
                      <w:szCs w:val="21"/>
                    </w:rPr>
                  </w:pPr>
                </w:p>
              </w:tc>
              <w:tc>
                <w:tcPr>
                  <w:tcW w:w="1695" w:type="pct"/>
                  <w:gridSpan w:val="2"/>
                  <w:vAlign w:val="center"/>
                </w:tcPr>
                <w:p>
                  <w:pPr>
                    <w:pStyle w:val="59"/>
                    <w:keepNext w:val="0"/>
                    <w:keepLines w:val="0"/>
                    <w:suppressLineNumbers w:val="0"/>
                    <w:snapToGrid/>
                    <w:spacing w:before="0" w:beforeAutospacing="0" w:after="0" w:afterAutospacing="0" w:line="240" w:lineRule="auto"/>
                    <w:ind w:left="0" w:right="0"/>
                    <w:rPr>
                      <w:rFonts w:hint="eastAsia" w:eastAsia="宋体"/>
                      <w:bCs/>
                      <w:color w:val="auto"/>
                      <w:sz w:val="21"/>
                      <w:szCs w:val="21"/>
                    </w:rPr>
                  </w:pPr>
                  <w:r>
                    <w:rPr>
                      <w:rFonts w:hint="eastAsia" w:eastAsia="宋体"/>
                      <w:bCs/>
                      <w:color w:val="auto"/>
                      <w:sz w:val="21"/>
                      <w:szCs w:val="21"/>
                    </w:rPr>
                    <w:t>采暖期合计</w:t>
                  </w:r>
                </w:p>
              </w:tc>
              <w:tc>
                <w:tcPr>
                  <w:tcW w:w="591" w:type="pct"/>
                  <w:vAlign w:val="center"/>
                </w:tcPr>
                <w:p>
                  <w:pPr>
                    <w:pStyle w:val="59"/>
                    <w:keepNext w:val="0"/>
                    <w:keepLines w:val="0"/>
                    <w:suppressLineNumbers w:val="0"/>
                    <w:snapToGrid/>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20.63</w:t>
                  </w:r>
                </w:p>
              </w:tc>
              <w:tc>
                <w:tcPr>
                  <w:tcW w:w="59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w:t>
                  </w:r>
                </w:p>
              </w:tc>
              <w:tc>
                <w:tcPr>
                  <w:tcW w:w="591"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10.82</w:t>
                  </w:r>
                </w:p>
              </w:tc>
              <w:tc>
                <w:tcPr>
                  <w:tcW w:w="1274" w:type="pct"/>
                  <w:vAlign w:val="center"/>
                </w:tcPr>
                <w:p>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采暖期</w:t>
                  </w:r>
                  <w:r>
                    <w:rPr>
                      <w:rFonts w:hint="eastAsia"/>
                      <w:color w:val="auto"/>
                      <w:szCs w:val="21"/>
                    </w:rPr>
                    <w:t>由罐车抽送至五台县生活污水处理厂</w:t>
                  </w:r>
                  <w:r>
                    <w:rPr>
                      <w:rFonts w:hint="eastAsia"/>
                      <w:color w:val="auto"/>
                      <w:szCs w:val="21"/>
                      <w:lang w:val="en-US" w:eastAsia="zh-CN"/>
                    </w:rPr>
                    <w:t>处理</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本项目用排水平衡见图2-1、2-2。</w:t>
            </w:r>
          </w:p>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object>
                <v:shape id="_x0000_i1025" o:spt="75" type="#_x0000_t75" style="height:464.25pt;width:328.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r>
              <w:rPr>
                <w:rFonts w:hint="eastAsia" w:ascii="黑体" w:hAnsi="黑体" w:eastAsia="黑体"/>
                <w:color w:val="auto"/>
                <w:sz w:val="24"/>
              </w:rPr>
              <w:t>图2-1  项目非采暖期水平衡图</w:t>
            </w:r>
            <w:r>
              <w:rPr>
                <w:rFonts w:hint="default" w:ascii="Times New Roman" w:hAnsi="Times New Roman" w:eastAsia="黑体" w:cs="Times New Roman"/>
                <w:color w:val="auto"/>
                <w:sz w:val="24"/>
              </w:rPr>
              <w:t>m</w:t>
            </w:r>
            <w:r>
              <w:rPr>
                <w:rFonts w:hint="default" w:ascii="Times New Roman" w:hAnsi="Times New Roman" w:eastAsia="黑体" w:cs="Times New Roman"/>
                <w:color w:val="auto"/>
                <w:sz w:val="24"/>
                <w:vertAlign w:val="superscript"/>
              </w:rPr>
              <w:t>3</w:t>
            </w:r>
            <w:r>
              <w:rPr>
                <w:rFonts w:hint="default" w:ascii="Times New Roman" w:hAnsi="Times New Roman" w:eastAsia="黑体" w:cs="Times New Roman"/>
                <w:color w:val="auto"/>
                <w:sz w:val="24"/>
              </w:rPr>
              <w:t>/d</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p>
          <w:p>
            <w:pPr>
              <w:keepNext w:val="0"/>
              <w:keepLines w:val="0"/>
              <w:suppressLineNumbers w:val="0"/>
              <w:adjustRightInd w:val="0"/>
              <w:snapToGrid w:val="0"/>
              <w:spacing w:before="0" w:beforeAutospacing="0" w:after="0" w:afterAutospacing="0"/>
              <w:ind w:left="0" w:right="0"/>
              <w:jc w:val="center"/>
              <w:rPr>
                <w:rFonts w:hint="eastAsia" w:eastAsia="宋体"/>
                <w:color w:val="auto"/>
                <w:lang w:val="en-US" w:eastAsia="zh-CN"/>
              </w:rPr>
            </w:pPr>
          </w:p>
          <w:p>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object>
                <v:shape id="_x0000_i1026" o:spt="75" type="#_x0000_t75" style="height:464.25pt;width:372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r>
              <w:rPr>
                <w:rFonts w:hint="eastAsia" w:ascii="黑体" w:hAnsi="黑体" w:eastAsia="黑体"/>
                <w:color w:val="auto"/>
                <w:sz w:val="24"/>
              </w:rPr>
              <w:t xml:space="preserve">图2-2  项目采暖期水平衡图 </w:t>
            </w:r>
            <w:r>
              <w:rPr>
                <w:rFonts w:hint="default" w:ascii="Times New Roman" w:hAnsi="Times New Roman" w:eastAsia="黑体" w:cs="Times New Roman"/>
                <w:color w:val="auto"/>
                <w:sz w:val="24"/>
              </w:rPr>
              <w:t>m</w:t>
            </w:r>
            <w:r>
              <w:rPr>
                <w:rFonts w:hint="default" w:ascii="Times New Roman" w:hAnsi="Times New Roman" w:eastAsia="黑体" w:cs="Times New Roman"/>
                <w:color w:val="auto"/>
                <w:sz w:val="24"/>
                <w:vertAlign w:val="superscript"/>
              </w:rPr>
              <w:t>3</w:t>
            </w:r>
            <w:r>
              <w:rPr>
                <w:rFonts w:hint="default" w:ascii="Times New Roman" w:hAnsi="Times New Roman" w:eastAsia="黑体" w:cs="Times New Roman"/>
                <w:color w:val="auto"/>
                <w:sz w:val="24"/>
              </w:rPr>
              <w:t>/d</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（3）供电系统</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电源由五台县供电局主供电网供给，施工用电由地块周边</w:t>
            </w:r>
            <w:r>
              <w:rPr>
                <w:rFonts w:hint="eastAsia"/>
                <w:color w:val="auto"/>
                <w:sz w:val="24"/>
                <w:lang w:val="en-US" w:eastAsia="zh-CN"/>
              </w:rPr>
              <w:t>村庄</w:t>
            </w:r>
            <w:r>
              <w:rPr>
                <w:rFonts w:hint="eastAsia"/>
                <w:color w:val="auto"/>
                <w:sz w:val="24"/>
              </w:rPr>
              <w:t>接入供给；项目建成运营后由市网引一路独立的10kV电源接入本项目的变配电室，变配电室设2台300kVA干式变压器。同时自备1台150kw柴油发电机组作为备用电源。</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（4）供暖系统</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Cs w:val="21"/>
              </w:rPr>
            </w:pPr>
            <w:r>
              <w:rPr>
                <w:rFonts w:hint="eastAsia"/>
                <w:color w:val="auto"/>
                <w:sz w:val="24"/>
              </w:rPr>
              <w:t>本项目告别楼、后勤管理用房、办公用房、火化间、焚烧间、室外厕所负荷约为：2</w:t>
            </w:r>
            <w:r>
              <w:rPr>
                <w:rFonts w:hint="eastAsia"/>
                <w:color w:val="auto"/>
                <w:sz w:val="24"/>
                <w:lang w:val="en-US" w:eastAsia="zh-CN"/>
              </w:rPr>
              <w:t>83.97</w:t>
            </w:r>
            <w:r>
              <w:rPr>
                <w:rFonts w:hint="eastAsia"/>
                <w:color w:val="auto"/>
                <w:sz w:val="24"/>
              </w:rPr>
              <w:t xml:space="preserve"> </w:t>
            </w:r>
            <w:r>
              <w:rPr>
                <w:rFonts w:hint="eastAsia"/>
                <w:color w:val="auto"/>
                <w:sz w:val="24"/>
                <w:lang w:val="en-US" w:eastAsia="zh-CN"/>
              </w:rPr>
              <w:t>k</w:t>
            </w:r>
            <w:r>
              <w:rPr>
                <w:rFonts w:hint="eastAsia"/>
                <w:color w:val="auto"/>
                <w:sz w:val="24"/>
              </w:rPr>
              <w:t>W，面积为</w:t>
            </w:r>
            <w:r>
              <w:rPr>
                <w:rFonts w:hint="eastAsia"/>
                <w:color w:val="auto"/>
                <w:sz w:val="24"/>
                <w:lang w:val="en-US" w:eastAsia="zh-CN"/>
              </w:rPr>
              <w:t>4732.91</w:t>
            </w:r>
            <w:r>
              <w:rPr>
                <w:rFonts w:hint="eastAsia"/>
                <w:color w:val="auto"/>
                <w:sz w:val="24"/>
              </w:rPr>
              <w:t>m</w:t>
            </w:r>
            <w:r>
              <w:rPr>
                <w:rFonts w:hint="eastAsia"/>
                <w:color w:val="auto"/>
                <w:sz w:val="24"/>
                <w:vertAlign w:val="superscript"/>
              </w:rPr>
              <w:t>2</w:t>
            </w:r>
            <w:r>
              <w:rPr>
                <w:rFonts w:hint="eastAsia"/>
                <w:color w:val="auto"/>
                <w:sz w:val="24"/>
              </w:rPr>
              <w:t>，热指标为：60W/m</w:t>
            </w:r>
            <w:r>
              <w:rPr>
                <w:rFonts w:hint="eastAsia"/>
                <w:color w:val="auto"/>
                <w:sz w:val="24"/>
                <w:vertAlign w:val="superscript"/>
              </w:rPr>
              <w:t>2</w:t>
            </w:r>
            <w:r>
              <w:rPr>
                <w:rFonts w:hint="eastAsia"/>
                <w:color w:val="auto"/>
                <w:sz w:val="24"/>
              </w:rPr>
              <w:t>。本项目选用2台额定制热功率为150kW的空气源热泵机组，可以满足本项目供暖需求。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16"/>
              <w:keepNext w:val="0"/>
              <w:keepLines w:val="0"/>
              <w:suppressLineNumbers w:val="0"/>
              <w:adjustRightInd w:val="0"/>
              <w:snapToGrid w:val="0"/>
              <w:spacing w:before="0" w:beforeAutospacing="0" w:after="0" w:afterAutospacing="0"/>
              <w:ind w:left="0" w:right="0"/>
              <w:jc w:val="center"/>
              <w:rPr>
                <w:rFonts w:hint="eastAsia" w:cs="宋体"/>
                <w:color w:val="auto"/>
                <w:sz w:val="21"/>
                <w:szCs w:val="21"/>
              </w:rPr>
            </w:pPr>
            <w:r>
              <w:rPr>
                <w:rFonts w:hint="eastAsia" w:cs="宋体"/>
                <w:color w:val="auto"/>
                <w:sz w:val="21"/>
                <w:szCs w:val="21"/>
              </w:rPr>
              <w:t>工艺流程和产排污环节</w:t>
            </w:r>
          </w:p>
        </w:tc>
        <w:tc>
          <w:tcPr>
            <w:tcW w:w="4760" w:type="pct"/>
            <w:gridSpan w:val="2"/>
            <w:vAlign w:val="top"/>
          </w:tcPr>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1、施工期工艺流程简述</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（1）施工期工艺流程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本项目为新建项目，拟建项目场址现状为</w:t>
            </w:r>
            <w:r>
              <w:rPr>
                <w:rFonts w:hint="eastAsia"/>
                <w:bCs/>
                <w:color w:val="auto"/>
                <w:sz w:val="24"/>
                <w:lang w:val="en-US" w:eastAsia="zh-CN"/>
              </w:rPr>
              <w:t>荒地</w:t>
            </w:r>
            <w:r>
              <w:rPr>
                <w:rFonts w:hint="eastAsia"/>
                <w:bCs/>
                <w:color w:val="auto"/>
                <w:sz w:val="24"/>
              </w:rPr>
              <w:t>；项目建筑主要为框架结构，施工期分以下几步进行：场地平整，基础工程，主体工程（建筑及配套设施建设工程），设备安装工程（室内外装修及设备安置）。施工期工艺流程及各阶段产污环节见下图。</w:t>
            </w:r>
          </w:p>
          <w:p>
            <w:pPr>
              <w:keepNext w:val="0"/>
              <w:keepLines w:val="0"/>
              <w:suppressLineNumbers w:val="0"/>
              <w:adjustRightInd w:val="0"/>
              <w:snapToGrid w:val="0"/>
              <w:spacing w:before="0" w:beforeAutospacing="0" w:after="0" w:afterAutospacing="0"/>
              <w:ind w:left="0" w:right="0"/>
              <w:jc w:val="center"/>
              <w:rPr>
                <w:rFonts w:hint="eastAsia"/>
                <w:bCs/>
                <w:color w:val="auto"/>
                <w:sz w:val="24"/>
              </w:rPr>
            </w:pPr>
            <w:r>
              <w:rPr>
                <w:rFonts w:hint="eastAsia"/>
                <w:color w:val="auto"/>
              </w:rPr>
              <w:drawing>
                <wp:inline distT="0" distB="0" distL="0" distR="0">
                  <wp:extent cx="4933950" cy="1133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图2-3  施工期工艺流程及产排污环节示意图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（2）</w:t>
            </w:r>
            <w:r>
              <w:rPr>
                <w:rFonts w:hint="eastAsia"/>
                <w:b/>
                <w:bCs/>
                <w:color w:val="auto"/>
                <w:sz w:val="24"/>
              </w:rPr>
              <w:t>施工期主要污染工序</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①大气污染物：车辆运输时产生的扬尘，排放的主要污染物为TSP；各类燃油动力机械在设备运输等施工作业时，会排出各类燃油废气，排放的主要污染物为CO、NO</w:t>
            </w:r>
            <w:r>
              <w:rPr>
                <w:rFonts w:hint="eastAsia"/>
                <w:bCs/>
                <w:color w:val="auto"/>
                <w:sz w:val="24"/>
                <w:vertAlign w:val="subscript"/>
              </w:rPr>
              <w:t>x</w:t>
            </w:r>
            <w:r>
              <w:rPr>
                <w:rFonts w:hint="eastAsia"/>
                <w:bCs/>
                <w:color w:val="auto"/>
                <w:sz w:val="24"/>
              </w:rPr>
              <w:t>、SO</w:t>
            </w:r>
            <w:r>
              <w:rPr>
                <w:rFonts w:hint="eastAsia"/>
                <w:bCs/>
                <w:color w:val="auto"/>
                <w:sz w:val="24"/>
                <w:vertAlign w:val="subscript"/>
              </w:rPr>
              <w:t>2</w:t>
            </w:r>
            <w:r>
              <w:rPr>
                <w:rFonts w:hint="eastAsia"/>
                <w:bCs/>
                <w:color w:val="auto"/>
                <w:sz w:val="24"/>
              </w:rPr>
              <w:t>、烟尘。</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②水污染物：施工人员产生的生活污水，主要污染物为BOD</w:t>
            </w:r>
            <w:r>
              <w:rPr>
                <w:rFonts w:hint="eastAsia"/>
                <w:bCs/>
                <w:color w:val="auto"/>
                <w:sz w:val="24"/>
                <w:vertAlign w:val="subscript"/>
              </w:rPr>
              <w:t>5</w:t>
            </w:r>
            <w:r>
              <w:rPr>
                <w:rFonts w:hint="eastAsia"/>
                <w:bCs/>
                <w:color w:val="auto"/>
                <w:sz w:val="24"/>
              </w:rPr>
              <w:t>、COD、SS。</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③固体废物：施工期产生的施工垃圾，主要为废弃包装物；施工人员的生活垃圾。</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④噪声：运输车辆等施工机械作业时产生的噪声；施工机械产生的噪声值为65-100dB（A）。</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2、运营期工艺流程简述</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（1）运营期工艺流程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GB"/>
              </w:rPr>
              <w:t>本项目为殡葬服务项目，提供</w:t>
            </w:r>
            <w:r>
              <w:rPr>
                <w:rFonts w:hint="eastAsia"/>
                <w:bCs/>
                <w:color w:val="auto"/>
                <w:sz w:val="24"/>
              </w:rPr>
              <w:t>遗体</w:t>
            </w:r>
            <w:r>
              <w:rPr>
                <w:rFonts w:hint="eastAsia"/>
                <w:bCs/>
                <w:color w:val="auto"/>
                <w:sz w:val="24"/>
                <w:lang w:val="en-GB"/>
              </w:rPr>
              <w:t>火化、追悼、</w:t>
            </w:r>
            <w:r>
              <w:rPr>
                <w:rFonts w:hint="eastAsia"/>
                <w:bCs/>
                <w:color w:val="auto"/>
                <w:sz w:val="24"/>
              </w:rPr>
              <w:t>骨灰寄存等</w:t>
            </w:r>
            <w:r>
              <w:rPr>
                <w:rFonts w:hint="eastAsia"/>
                <w:bCs/>
                <w:color w:val="auto"/>
                <w:sz w:val="24"/>
                <w:lang w:val="en-GB"/>
              </w:rPr>
              <w:t>服务。</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lang w:val="en-GB"/>
              </w:rPr>
            </w:pPr>
            <w:r>
              <w:rPr>
                <w:rFonts w:hint="eastAsia"/>
                <w:bCs/>
                <w:color w:val="auto"/>
                <w:sz w:val="24"/>
              </w:rPr>
              <w:t>①</w:t>
            </w:r>
            <w:r>
              <w:rPr>
                <w:rFonts w:hint="eastAsia"/>
                <w:bCs/>
                <w:color w:val="auto"/>
                <w:sz w:val="24"/>
                <w:lang w:val="en-GB"/>
              </w:rPr>
              <w:t>遗体运送：由专用殡仪车辆经专用车道进行遗体运送。</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GB"/>
              </w:rPr>
              <w:t>②遗体处置：需要进行遗体清洁的，可在遗体冷藏间洗浴台进行遗体清洁，正常情况下遗体处理为沐浴、更衣和化妆。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③遗体暂存：对于无法立即进行火化的遗体，需在遗体冷藏柜中进行停放，停放温度为-5℃，停放时间最长不超过3天。</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④</w:t>
            </w:r>
            <w:r>
              <w:rPr>
                <w:rFonts w:hint="eastAsia"/>
                <w:bCs/>
                <w:color w:val="auto"/>
                <w:sz w:val="24"/>
                <w:lang w:val="en-GB"/>
              </w:rPr>
              <w:t>遗体告别：遗体进行火化前在守灵厅、悼念厅、告别厅进行守灵、悼念、告别等仪式。本项目不提供餐饮服务。</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lang w:val="en-GB"/>
              </w:rPr>
            </w:pPr>
            <w:r>
              <w:rPr>
                <w:rFonts w:hint="eastAsia"/>
                <w:bCs/>
                <w:color w:val="auto"/>
                <w:sz w:val="24"/>
              </w:rPr>
              <w:t>⑤火化：</w:t>
            </w:r>
            <w:r>
              <w:rPr>
                <w:rFonts w:hint="eastAsia"/>
                <w:bCs/>
                <w:color w:val="auto"/>
                <w:sz w:val="24"/>
                <w:lang w:val="en-GB"/>
              </w:rPr>
              <w:t>遗体由运尸车运送到火化间，进入火化炉进行火化，火化炉采用轻柴油作为燃料，将尸体等在燃烧室里充分燃烧氧化分解。</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本项目使用的火化设备为符合国家环境保护标准的火化炉，使用“3T</w:t>
            </w:r>
            <w:r>
              <w:rPr>
                <w:rFonts w:hint="eastAsia"/>
                <w:bCs/>
                <w:color w:val="auto"/>
                <w:sz w:val="24"/>
                <w:lang w:val="en-US" w:eastAsia="zh-CN"/>
              </w:rPr>
              <w:t>+E</w:t>
            </w:r>
            <w:r>
              <w:rPr>
                <w:rFonts w:hint="eastAsia"/>
                <w:bCs/>
                <w:color w:val="auto"/>
                <w:sz w:val="24"/>
              </w:rPr>
              <w:t>”控制技术，可有效减少火化过程中污染物的排放。“3T</w:t>
            </w:r>
            <w:r>
              <w:rPr>
                <w:rFonts w:hint="eastAsia"/>
                <w:bCs/>
                <w:color w:val="auto"/>
                <w:sz w:val="24"/>
                <w:lang w:val="en-US" w:eastAsia="zh-CN"/>
              </w:rPr>
              <w:t>+E</w:t>
            </w:r>
            <w:r>
              <w:rPr>
                <w:rFonts w:hint="eastAsia"/>
                <w:bCs/>
                <w:color w:val="auto"/>
                <w:sz w:val="24"/>
              </w:rPr>
              <w:t>”技术包括维持炉内高温(Temperature)</w:t>
            </w:r>
            <w:r>
              <w:rPr>
                <w:rFonts w:hint="eastAsia"/>
                <w:bCs/>
                <w:color w:val="auto"/>
                <w:sz w:val="24"/>
                <w:lang w:eastAsia="zh-CN"/>
              </w:rPr>
              <w:t>，</w:t>
            </w:r>
            <w:r>
              <w:rPr>
                <w:rFonts w:hint="eastAsia"/>
                <w:bCs/>
                <w:color w:val="auto"/>
                <w:sz w:val="24"/>
              </w:rPr>
              <w:t>延长气体在高温区的停留时间(Time)</w:t>
            </w:r>
            <w:r>
              <w:rPr>
                <w:rFonts w:hint="eastAsia"/>
                <w:bCs/>
                <w:color w:val="auto"/>
                <w:sz w:val="24"/>
                <w:lang w:eastAsia="zh-CN"/>
              </w:rPr>
              <w:t>，</w:t>
            </w:r>
            <w:r>
              <w:rPr>
                <w:rFonts w:hint="eastAsia"/>
                <w:bCs/>
                <w:color w:val="auto"/>
                <w:sz w:val="24"/>
              </w:rPr>
              <w:t>加强炉内物料湍动</w:t>
            </w:r>
            <w:r>
              <w:rPr>
                <w:rFonts w:hint="eastAsia"/>
                <w:bCs/>
                <w:color w:val="auto"/>
                <w:sz w:val="24"/>
                <w:lang w:eastAsia="zh-CN"/>
              </w:rPr>
              <w:t>、</w:t>
            </w:r>
            <w:r>
              <w:rPr>
                <w:rFonts w:hint="eastAsia"/>
                <w:bCs/>
                <w:color w:val="auto"/>
                <w:sz w:val="24"/>
              </w:rPr>
              <w:t>促进空气与烟气的扩散、混合(Turbulence)，</w:t>
            </w:r>
            <w:r>
              <w:rPr>
                <w:rFonts w:hint="eastAsia"/>
                <w:bCs/>
                <w:color w:val="auto"/>
                <w:sz w:val="24"/>
                <w:lang w:val="en-US" w:eastAsia="zh-CN"/>
              </w:rPr>
              <w:t>保持适合的过剩空气系数（Ex-cessoxygen）</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购置的YQ欧亚式火化机，属目前国内先进的火化设备，采用二级燃烧技术，燃烧过程采用FWC型控制器，全自动控制实现自动点火、自动调整炉膛压力、自动调整炉膛内燃烧用的空气量、自动控制炉膛内的温度在合适的范围内，使烟气中的有毒有害物质在最佳的燃烧状态下被充分氧化分解。其中主燃烧室（一级燃烧室）燃烧的对象是尸体及随葬品，燃烧温度在850℃~950℃；二级燃烧室燃烧的对象是烟气，二级燃烧室烧炉膛温度＞900℃，烟气停留时间＞2s；以充分氧化分解产生的污染物，从而达到去除烟尘、恶臭气体的目的。3T+E原则能确保</w:t>
            </w:r>
            <w:r>
              <w:rPr>
                <w:rFonts w:hint="eastAsia"/>
                <w:bCs/>
                <w:color w:val="auto"/>
                <w:sz w:val="24"/>
                <w:lang w:val="en-US" w:eastAsia="zh-CN"/>
              </w:rPr>
              <w:t>炉内</w:t>
            </w:r>
            <w:r>
              <w:rPr>
                <w:rFonts w:hint="eastAsia"/>
                <w:bCs/>
                <w:color w:val="auto"/>
                <w:sz w:val="24"/>
              </w:rPr>
              <w:t>的有害成份的充分分解，从源头上控制酸性气体、有害气体（二噁英类物质）的生成，全面控制烟气排放造成的二次污染。</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本项目火化炉烟气经急冷+半干法脱硫+活性炭喷射+布袋除尘器+活性炭吸附处理后由12m高排气筒外排。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本项目火化机设备参数见下表。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表2-6  主要原辅材料及能源消耗情况表</w:t>
            </w:r>
          </w:p>
          <w:tbl>
            <w:tblPr>
              <w:tblStyle w:val="19"/>
              <w:tblpPr w:leftFromText="181" w:rightFromText="181" w:vertAnchor="text" w:horzAnchor="page" w:tblpX="97"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6"/>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项目</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型号</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bCs/>
                      <w:color w:val="auto"/>
                      <w:szCs w:val="21"/>
                    </w:rPr>
                    <w:t>YQ欧亚式火化机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使用燃料</w:t>
                  </w:r>
                </w:p>
              </w:tc>
              <w:tc>
                <w:tcPr>
                  <w:tcW w:w="2954"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轻质柴油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耗油量</w:t>
                  </w:r>
                </w:p>
              </w:tc>
              <w:tc>
                <w:tcPr>
                  <w:tcW w:w="2954"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约40L/具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火化时间</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约45min/具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主炉膛工作压力</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-9.8Pa~30Pa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主炉膛最大负压</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主炉膛工作温度</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850℃~950℃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再燃室炉膛温度</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再燃室烟气停留时间</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火化炉表面温升</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＜30℃，局部＜60℃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保温性能</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350℃~900℃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lang w:val="en-US" w:eastAsia="zh-CN"/>
                    </w:rPr>
                    <w:t>烟气净化</w:t>
                  </w:r>
                  <w:r>
                    <w:rPr>
                      <w:rFonts w:hint="eastAsia"/>
                      <w:color w:val="auto"/>
                      <w:szCs w:val="21"/>
                    </w:rPr>
                    <w:t>方式</w:t>
                  </w:r>
                </w:p>
              </w:tc>
              <w:tc>
                <w:tcPr>
                  <w:tcW w:w="2954" w:type="pct"/>
                  <w:vAlign w:val="center"/>
                </w:tcPr>
                <w:p>
                  <w:pPr>
                    <w:pStyle w:val="45"/>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bCs/>
                      <w:color w:val="auto"/>
                      <w:szCs w:val="21"/>
                    </w:rPr>
                    <w:t>急冷+半干法脱硫+活性炭喷射+布袋除尘器</w:t>
                  </w:r>
                  <w:r>
                    <w:rPr>
                      <w:rFonts w:hint="eastAsia"/>
                      <w:bCs/>
                      <w:color w:val="auto"/>
                      <w:szCs w:val="21"/>
                      <w:lang w:val="en-US" w:eastAsia="zh-CN"/>
                    </w:rPr>
                    <w:t>+活性炭吸附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排放方式</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下排式烟道，引射式烟囱，高度12m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出口烟气氧含量</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≥8%（干烟气）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总功率</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≤20kW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工作电压</w:t>
                  </w:r>
                </w:p>
              </w:tc>
              <w:tc>
                <w:tcPr>
                  <w:tcW w:w="2954" w:type="pct"/>
                  <w:vAlign w:val="center"/>
                </w:tcPr>
                <w:p>
                  <w:pPr>
                    <w:pStyle w:val="45"/>
                    <w:keepNext w:val="0"/>
                    <w:keepLines w:val="0"/>
                    <w:suppressLineNumbers w:val="0"/>
                    <w:spacing w:before="0" w:beforeAutospacing="0" w:after="0" w:afterAutospacing="0"/>
                    <w:ind w:left="0" w:right="0"/>
                    <w:rPr>
                      <w:rFonts w:hint="eastAsia"/>
                      <w:color w:val="auto"/>
                      <w:szCs w:val="21"/>
                    </w:rPr>
                  </w:pPr>
                  <w:r>
                    <w:rPr>
                      <w:rFonts w:hint="eastAsia"/>
                      <w:color w:val="auto"/>
                      <w:szCs w:val="21"/>
                    </w:rPr>
                    <w:t>380V±5%</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⑥骨灰验装：遗体燃烧完成后，剩余的骨灰主要是含有钙、镁、磷等氧化物的灰渣，火化炉配有自动收集装置对灰渣进行收集，收集后放入骨灰盒，由死者亲属领走自行安葬或寄存于殡仪馆。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lang w:val="en-GB"/>
              </w:rPr>
            </w:pPr>
            <w:r>
              <w:rPr>
                <w:rFonts w:hint="eastAsia"/>
                <w:bCs/>
                <w:color w:val="auto"/>
                <w:sz w:val="24"/>
              </w:rPr>
              <w:t>⑦遗物、祭品焚烧：</w:t>
            </w:r>
            <w:r>
              <w:rPr>
                <w:rFonts w:hint="eastAsia"/>
                <w:bCs/>
                <w:color w:val="auto"/>
                <w:sz w:val="24"/>
                <w:lang w:val="en-GB"/>
              </w:rPr>
              <w:t>本项目设置了</w:t>
            </w:r>
            <w:r>
              <w:rPr>
                <w:rFonts w:hint="eastAsia"/>
                <w:bCs/>
                <w:color w:val="auto"/>
                <w:sz w:val="24"/>
              </w:rPr>
              <w:t>遗物祭品</w:t>
            </w:r>
            <w:r>
              <w:rPr>
                <w:rFonts w:hint="eastAsia"/>
                <w:bCs/>
                <w:color w:val="auto"/>
                <w:sz w:val="24"/>
                <w:lang w:val="en-GB"/>
              </w:rPr>
              <w:t>焚烧炉</w:t>
            </w:r>
            <w:r>
              <w:rPr>
                <w:rFonts w:hint="eastAsia"/>
                <w:bCs/>
                <w:color w:val="auto"/>
                <w:sz w:val="24"/>
              </w:rPr>
              <w:t>1</w:t>
            </w:r>
            <w:r>
              <w:rPr>
                <w:rFonts w:hint="eastAsia"/>
                <w:bCs/>
                <w:color w:val="auto"/>
                <w:sz w:val="24"/>
                <w:lang w:val="en-GB"/>
              </w:rPr>
              <w:t>座，主要焚烧逝者衣物等随身用品及祭奠用品，祭奠用品主要包括花圈、房屋等纸竹类祭奠用品；本项目禁止焚烧带有塑料制品、金箔等重金属类的祭奠用品。</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本项目遗物、祭品焚烧烟气经急冷+半干法脱硫+活性炭喷射+布袋除尘器+活性炭吸附处理后由12m高排气筒外排。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本项目主要工艺流程及产污节点见下图。</w:t>
            </w:r>
          </w:p>
          <w:p>
            <w:pPr>
              <w:keepNext w:val="0"/>
              <w:keepLines w:val="0"/>
              <w:suppressLineNumbers w:val="0"/>
              <w:adjustRightInd w:val="0"/>
              <w:snapToGrid w:val="0"/>
              <w:spacing w:before="0" w:beforeAutospacing="0" w:after="0" w:afterAutospacing="0"/>
              <w:ind w:left="0" w:right="0"/>
              <w:jc w:val="center"/>
              <w:rPr>
                <w:rFonts w:hint="eastAsia"/>
                <w:bCs/>
                <w:color w:val="auto"/>
                <w:sz w:val="24"/>
              </w:rPr>
            </w:pPr>
            <w:r>
              <w:rPr>
                <w:rFonts w:hint="eastAsia"/>
                <w:color w:val="auto"/>
              </w:rPr>
              <w:object>
                <v:shape id="_x0000_i1027" o:spt="75" type="#_x0000_t75" style="height:245.25pt;width:420.75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图2-4  运营期工艺流程及产排污环节示意图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（2）运营期工艺流程产排污环节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①废气：</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w:t>
            </w:r>
            <w:r>
              <w:rPr>
                <w:rFonts w:hint="eastAsia"/>
                <w:bCs/>
                <w:color w:val="auto"/>
                <w:sz w:val="24"/>
              </w:rPr>
              <w:t>遗体火化废气；</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G</w:t>
            </w:r>
            <w:r>
              <w:rPr>
                <w:rFonts w:hint="eastAsia"/>
                <w:b/>
                <w:bCs/>
                <w:color w:val="auto"/>
                <w:sz w:val="24"/>
                <w:vertAlign w:val="subscript"/>
              </w:rPr>
              <w:t>2</w:t>
            </w:r>
            <w:r>
              <w:rPr>
                <w:rFonts w:hint="eastAsia"/>
                <w:b/>
                <w:bCs/>
                <w:color w:val="auto"/>
                <w:sz w:val="24"/>
              </w:rPr>
              <w:t>：</w:t>
            </w:r>
            <w:r>
              <w:rPr>
                <w:rFonts w:hint="eastAsia"/>
                <w:bCs/>
                <w:color w:val="auto"/>
                <w:sz w:val="24"/>
              </w:rPr>
              <w:t>遗物祭品焚烧废气；</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G</w:t>
            </w:r>
            <w:r>
              <w:rPr>
                <w:rFonts w:hint="eastAsia"/>
                <w:b/>
                <w:bCs/>
                <w:color w:val="auto"/>
                <w:sz w:val="24"/>
                <w:vertAlign w:val="subscript"/>
              </w:rPr>
              <w:t>3</w:t>
            </w:r>
            <w:r>
              <w:rPr>
                <w:rFonts w:hint="eastAsia"/>
                <w:b/>
                <w:bCs/>
                <w:color w:val="auto"/>
                <w:sz w:val="24"/>
              </w:rPr>
              <w:t>：</w:t>
            </w:r>
            <w:r>
              <w:rPr>
                <w:rFonts w:hint="eastAsia"/>
                <w:bCs/>
                <w:color w:val="auto"/>
                <w:sz w:val="24"/>
              </w:rPr>
              <w:t>汽车尾气；</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G</w:t>
            </w:r>
            <w:r>
              <w:rPr>
                <w:rFonts w:hint="eastAsia"/>
                <w:b/>
                <w:bCs/>
                <w:color w:val="auto"/>
                <w:sz w:val="24"/>
                <w:vertAlign w:val="subscript"/>
              </w:rPr>
              <w:t>4</w:t>
            </w:r>
            <w:r>
              <w:rPr>
                <w:rFonts w:hint="eastAsia"/>
                <w:b/>
                <w:bCs/>
                <w:color w:val="auto"/>
                <w:sz w:val="24"/>
              </w:rPr>
              <w:t>：</w:t>
            </w:r>
            <w:r>
              <w:rPr>
                <w:rFonts w:hint="eastAsia"/>
                <w:bCs/>
                <w:color w:val="auto"/>
                <w:sz w:val="24"/>
              </w:rPr>
              <w:t>备用发电机废气；</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G</w:t>
            </w:r>
            <w:r>
              <w:rPr>
                <w:rFonts w:hint="eastAsia"/>
                <w:b/>
                <w:bCs/>
                <w:color w:val="auto"/>
                <w:sz w:val="24"/>
                <w:vertAlign w:val="subscript"/>
              </w:rPr>
              <w:t>5</w:t>
            </w:r>
            <w:r>
              <w:rPr>
                <w:rFonts w:hint="eastAsia"/>
                <w:b/>
                <w:bCs/>
                <w:color w:val="auto"/>
                <w:sz w:val="24"/>
              </w:rPr>
              <w:t>：</w:t>
            </w:r>
            <w:r>
              <w:rPr>
                <w:rFonts w:hint="eastAsia"/>
                <w:color w:val="auto"/>
                <w:sz w:val="24"/>
              </w:rPr>
              <w:t>遗体火化、污水处理站及生活垃圾产生的</w:t>
            </w:r>
            <w:r>
              <w:rPr>
                <w:rFonts w:hint="eastAsia"/>
                <w:bCs/>
                <w:color w:val="auto"/>
                <w:sz w:val="24"/>
              </w:rPr>
              <w:t>恶臭污染物；</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eastAsia="宋体"/>
                <w:bCs/>
                <w:color w:val="auto"/>
                <w:sz w:val="24"/>
                <w:lang w:val="en-US" w:eastAsia="zh-CN"/>
              </w:rPr>
            </w:pPr>
            <w:r>
              <w:rPr>
                <w:rFonts w:hint="eastAsia"/>
                <w:b/>
                <w:color w:val="auto"/>
                <w:sz w:val="24"/>
              </w:rPr>
              <w:t>G</w:t>
            </w:r>
            <w:r>
              <w:rPr>
                <w:rFonts w:hint="eastAsia"/>
                <w:b/>
                <w:color w:val="auto"/>
                <w:sz w:val="24"/>
                <w:vertAlign w:val="subscript"/>
              </w:rPr>
              <w:t>6</w:t>
            </w:r>
            <w:r>
              <w:rPr>
                <w:rFonts w:hint="eastAsia"/>
                <w:b/>
                <w:color w:val="auto"/>
                <w:sz w:val="24"/>
              </w:rPr>
              <w:t>：</w:t>
            </w:r>
            <w:r>
              <w:rPr>
                <w:rFonts w:hint="eastAsia"/>
                <w:color w:val="auto"/>
                <w:sz w:val="24"/>
                <w:lang w:val="en-US" w:eastAsia="zh-CN"/>
              </w:rPr>
              <w:t>柴油储罐废气</w:t>
            </w:r>
            <w:r>
              <w:rPr>
                <w:rFonts w:hint="eastAsia"/>
                <w:color w:val="auto"/>
                <w:sz w:val="24"/>
                <w:lang w:eastAsia="zh-CN"/>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color w:val="auto"/>
                <w:sz w:val="24"/>
              </w:rPr>
              <w:t>G</w:t>
            </w:r>
            <w:r>
              <w:rPr>
                <w:rFonts w:hint="eastAsia"/>
                <w:b/>
                <w:color w:val="auto"/>
                <w:sz w:val="24"/>
                <w:vertAlign w:val="subscript"/>
                <w:lang w:val="en-US" w:eastAsia="zh-CN"/>
              </w:rPr>
              <w:t>7</w:t>
            </w:r>
            <w:r>
              <w:rPr>
                <w:rFonts w:hint="eastAsia"/>
                <w:b/>
                <w:color w:val="auto"/>
                <w:sz w:val="24"/>
              </w:rPr>
              <w:t>：</w:t>
            </w:r>
            <w:r>
              <w:rPr>
                <w:rFonts w:hint="eastAsia"/>
                <w:color w:val="auto"/>
                <w:sz w:val="24"/>
              </w:rPr>
              <w:t>非正常情况下废气排放。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②废水</w:t>
            </w:r>
          </w:p>
          <w:p>
            <w:pPr>
              <w:pStyle w:val="47"/>
              <w:keepNext w:val="0"/>
              <w:keepLines w:val="0"/>
              <w:suppressLineNumbers w:val="0"/>
              <w:spacing w:before="0" w:beforeAutospacing="0" w:after="0" w:afterAutospacing="0"/>
              <w:ind w:left="0" w:right="0" w:firstLine="482"/>
              <w:rPr>
                <w:rFonts w:hint="eastAsia"/>
                <w:color w:val="auto"/>
              </w:rPr>
            </w:pPr>
            <w:r>
              <w:rPr>
                <w:rFonts w:hint="eastAsia"/>
                <w:b/>
                <w:color w:val="auto"/>
              </w:rPr>
              <w:t>W</w:t>
            </w:r>
            <w:r>
              <w:rPr>
                <w:rFonts w:hint="eastAsia"/>
                <w:b/>
                <w:color w:val="auto"/>
                <w:vertAlign w:val="subscript"/>
              </w:rPr>
              <w:t>1</w:t>
            </w:r>
            <w:r>
              <w:rPr>
                <w:rFonts w:hint="eastAsia"/>
                <w:b/>
                <w:color w:val="auto"/>
              </w:rPr>
              <w:t>：</w:t>
            </w:r>
            <w:r>
              <w:rPr>
                <w:rFonts w:hint="eastAsia"/>
                <w:color w:val="auto"/>
              </w:rPr>
              <w:t>遗体处置清洗、消毒废水；</w:t>
            </w:r>
          </w:p>
          <w:p>
            <w:pPr>
              <w:pStyle w:val="47"/>
              <w:keepNext w:val="0"/>
              <w:keepLines w:val="0"/>
              <w:suppressLineNumbers w:val="0"/>
              <w:spacing w:before="0" w:beforeAutospacing="0" w:after="0" w:afterAutospacing="0"/>
              <w:ind w:left="0" w:right="0" w:firstLine="482"/>
              <w:rPr>
                <w:rFonts w:hint="eastAsia"/>
                <w:color w:val="auto"/>
              </w:rPr>
            </w:pPr>
            <w:r>
              <w:rPr>
                <w:rFonts w:hint="eastAsia"/>
                <w:b/>
                <w:color w:val="auto"/>
              </w:rPr>
              <w:t>W</w:t>
            </w:r>
            <w:r>
              <w:rPr>
                <w:rFonts w:hint="eastAsia"/>
                <w:b/>
                <w:color w:val="auto"/>
                <w:vertAlign w:val="subscript"/>
              </w:rPr>
              <w:t>2</w:t>
            </w:r>
            <w:r>
              <w:rPr>
                <w:rFonts w:hint="eastAsia"/>
                <w:b/>
                <w:color w:val="auto"/>
              </w:rPr>
              <w:t>：</w:t>
            </w:r>
            <w:r>
              <w:rPr>
                <w:rFonts w:hint="eastAsia"/>
                <w:color w:val="auto"/>
                <w:spacing w:val="4"/>
              </w:rPr>
              <w:t>专用殡仪车辆清洗、消毒废水</w:t>
            </w:r>
            <w:r>
              <w:rPr>
                <w:rFonts w:hint="eastAsia"/>
                <w:color w:val="auto"/>
              </w:rPr>
              <w:t>；</w:t>
            </w:r>
          </w:p>
          <w:p>
            <w:pPr>
              <w:pStyle w:val="47"/>
              <w:keepNext w:val="0"/>
              <w:keepLines w:val="0"/>
              <w:suppressLineNumbers w:val="0"/>
              <w:spacing w:before="0" w:beforeAutospacing="0" w:after="0" w:afterAutospacing="0"/>
              <w:ind w:left="0" w:right="0" w:firstLine="482"/>
              <w:rPr>
                <w:rFonts w:hint="eastAsia"/>
                <w:color w:val="auto"/>
              </w:rPr>
            </w:pPr>
            <w:r>
              <w:rPr>
                <w:rFonts w:hint="eastAsia"/>
                <w:b/>
                <w:color w:val="auto"/>
              </w:rPr>
              <w:t>W</w:t>
            </w:r>
            <w:r>
              <w:rPr>
                <w:rFonts w:hint="eastAsia"/>
                <w:b/>
                <w:color w:val="auto"/>
                <w:vertAlign w:val="subscript"/>
                <w:lang w:val="en-US" w:eastAsia="zh-CN"/>
              </w:rPr>
              <w:t>3</w:t>
            </w:r>
            <w:r>
              <w:rPr>
                <w:rFonts w:hint="eastAsia"/>
                <w:b/>
                <w:color w:val="auto"/>
              </w:rPr>
              <w:t>：</w:t>
            </w:r>
            <w:r>
              <w:rPr>
                <w:rFonts w:hint="eastAsia"/>
                <w:b w:val="0"/>
                <w:bCs/>
                <w:color w:val="auto"/>
              </w:rPr>
              <w:t>地坪清洗废水</w:t>
            </w:r>
            <w:r>
              <w:rPr>
                <w:rFonts w:hint="eastAsia"/>
                <w:color w:val="auto"/>
              </w:rPr>
              <w:t>；</w:t>
            </w:r>
          </w:p>
          <w:p>
            <w:pPr>
              <w:pStyle w:val="47"/>
              <w:keepNext w:val="0"/>
              <w:keepLines w:val="0"/>
              <w:suppressLineNumbers w:val="0"/>
              <w:spacing w:before="0" w:beforeAutospacing="0" w:after="0" w:afterAutospacing="0"/>
              <w:ind w:left="0" w:right="0" w:firstLine="482"/>
              <w:rPr>
                <w:rFonts w:hint="eastAsia"/>
                <w:color w:val="auto"/>
              </w:rPr>
            </w:pPr>
            <w:r>
              <w:rPr>
                <w:rFonts w:hint="eastAsia"/>
                <w:b/>
                <w:color w:val="auto"/>
              </w:rPr>
              <w:t>W</w:t>
            </w:r>
            <w:r>
              <w:rPr>
                <w:rFonts w:hint="eastAsia"/>
                <w:b/>
                <w:color w:val="auto"/>
                <w:vertAlign w:val="subscript"/>
                <w:lang w:val="en-US" w:eastAsia="zh-CN"/>
              </w:rPr>
              <w:t>4</w:t>
            </w:r>
            <w:r>
              <w:rPr>
                <w:rFonts w:hint="eastAsia"/>
                <w:b/>
                <w:color w:val="auto"/>
              </w:rPr>
              <w:t>：</w:t>
            </w:r>
            <w:r>
              <w:rPr>
                <w:rFonts w:hint="eastAsia"/>
                <w:b w:val="0"/>
                <w:bCs/>
                <w:color w:val="auto"/>
              </w:rPr>
              <w:t>烟气处理设施急冷装置循环冷却水排污水；</w:t>
            </w:r>
          </w:p>
          <w:p>
            <w:pPr>
              <w:pStyle w:val="47"/>
              <w:keepNext w:val="0"/>
              <w:keepLines w:val="0"/>
              <w:suppressLineNumbers w:val="0"/>
              <w:spacing w:before="0" w:beforeAutospacing="0" w:after="0" w:afterAutospacing="0"/>
              <w:ind w:left="0" w:right="0" w:firstLine="482"/>
              <w:rPr>
                <w:rFonts w:hint="eastAsia"/>
                <w:color w:val="auto"/>
              </w:rPr>
            </w:pPr>
            <w:r>
              <w:rPr>
                <w:rFonts w:hint="eastAsia"/>
                <w:b/>
                <w:color w:val="auto"/>
              </w:rPr>
              <w:t>W</w:t>
            </w:r>
            <w:r>
              <w:rPr>
                <w:rFonts w:hint="eastAsia"/>
                <w:b/>
                <w:color w:val="auto"/>
                <w:vertAlign w:val="subscript"/>
                <w:lang w:val="en-US" w:eastAsia="zh-CN"/>
              </w:rPr>
              <w:t>5</w:t>
            </w:r>
            <w:r>
              <w:rPr>
                <w:rFonts w:hint="eastAsia"/>
                <w:b/>
                <w:color w:val="auto"/>
              </w:rPr>
              <w:t>：</w:t>
            </w:r>
            <w:r>
              <w:rPr>
                <w:rFonts w:hint="eastAsia"/>
                <w:color w:val="auto"/>
                <w:spacing w:val="4"/>
              </w:rPr>
              <w:t>悼念、来访人员及工作人员生活污水</w:t>
            </w:r>
            <w:r>
              <w:rPr>
                <w:rFonts w:hint="eastAsia"/>
                <w:color w:val="auto"/>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③固废</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bCs/>
                <w:color w:val="auto"/>
                <w:sz w:val="24"/>
              </w:rPr>
              <w:t>S</w:t>
            </w:r>
            <w:r>
              <w:rPr>
                <w:rFonts w:hint="eastAsia"/>
                <w:b/>
                <w:bCs/>
                <w:color w:val="auto"/>
                <w:sz w:val="24"/>
                <w:vertAlign w:val="subscript"/>
              </w:rPr>
              <w:t>1</w:t>
            </w:r>
            <w:r>
              <w:rPr>
                <w:rFonts w:hint="eastAsia"/>
                <w:b/>
                <w:bCs/>
                <w:color w:val="auto"/>
                <w:sz w:val="24"/>
              </w:rPr>
              <w:t>：</w:t>
            </w:r>
            <w:r>
              <w:rPr>
                <w:rFonts w:hint="eastAsia"/>
                <w:bCs/>
                <w:color w:val="auto"/>
                <w:sz w:val="24"/>
              </w:rPr>
              <w:t>遗体火化产生的骨灰；</w:t>
            </w:r>
          </w:p>
          <w:p>
            <w:pPr>
              <w:pStyle w:val="47"/>
              <w:keepNext w:val="0"/>
              <w:keepLines w:val="0"/>
              <w:suppressLineNumbers w:val="0"/>
              <w:snapToGrid/>
              <w:spacing w:before="0" w:beforeAutospacing="0" w:after="0" w:afterAutospacing="0"/>
              <w:ind w:left="0" w:right="0" w:firstLine="482"/>
              <w:rPr>
                <w:rFonts w:hint="eastAsia"/>
                <w:bCs/>
                <w:color w:val="auto"/>
              </w:rPr>
            </w:pPr>
            <w:r>
              <w:rPr>
                <w:rFonts w:hint="eastAsia"/>
                <w:b/>
                <w:color w:val="auto"/>
              </w:rPr>
              <w:t>S</w:t>
            </w:r>
            <w:r>
              <w:rPr>
                <w:rFonts w:hint="eastAsia"/>
                <w:b/>
                <w:color w:val="auto"/>
                <w:vertAlign w:val="subscript"/>
              </w:rPr>
              <w:t>2</w:t>
            </w:r>
            <w:r>
              <w:rPr>
                <w:rFonts w:hint="eastAsia"/>
                <w:b/>
                <w:color w:val="auto"/>
              </w:rPr>
              <w:t>：</w:t>
            </w:r>
            <w:r>
              <w:rPr>
                <w:rFonts w:hint="eastAsia"/>
                <w:bCs/>
                <w:color w:val="auto"/>
              </w:rPr>
              <w:t>火化炉遗留的灰渣；</w:t>
            </w:r>
          </w:p>
          <w:p>
            <w:pPr>
              <w:pStyle w:val="47"/>
              <w:keepNext w:val="0"/>
              <w:keepLines w:val="0"/>
              <w:suppressLineNumbers w:val="0"/>
              <w:snapToGrid/>
              <w:spacing w:before="0" w:beforeAutospacing="0" w:after="0" w:afterAutospacing="0"/>
              <w:ind w:left="0" w:right="0" w:firstLine="482"/>
              <w:rPr>
                <w:rFonts w:hint="eastAsia"/>
                <w:bCs/>
                <w:color w:val="auto"/>
              </w:rPr>
            </w:pPr>
            <w:r>
              <w:rPr>
                <w:rFonts w:hint="eastAsia"/>
                <w:b/>
                <w:color w:val="auto"/>
              </w:rPr>
              <w:t>S</w:t>
            </w:r>
            <w:r>
              <w:rPr>
                <w:rFonts w:hint="eastAsia"/>
                <w:b/>
                <w:color w:val="auto"/>
                <w:vertAlign w:val="subscript"/>
              </w:rPr>
              <w:t>3</w:t>
            </w:r>
            <w:r>
              <w:rPr>
                <w:rFonts w:hint="eastAsia"/>
                <w:b/>
                <w:color w:val="auto"/>
              </w:rPr>
              <w:t>：</w:t>
            </w:r>
            <w:r>
              <w:rPr>
                <w:rFonts w:hint="eastAsia"/>
                <w:bCs/>
                <w:color w:val="auto"/>
              </w:rPr>
              <w:t>遗物祭品焚烧灰渣；</w:t>
            </w:r>
          </w:p>
          <w:p>
            <w:pPr>
              <w:pStyle w:val="47"/>
              <w:keepNext w:val="0"/>
              <w:keepLines w:val="0"/>
              <w:suppressLineNumbers w:val="0"/>
              <w:snapToGrid/>
              <w:spacing w:before="0" w:beforeAutospacing="0" w:after="0" w:afterAutospacing="0"/>
              <w:ind w:left="0" w:right="0" w:firstLine="482"/>
              <w:rPr>
                <w:rFonts w:hint="eastAsia"/>
                <w:bCs/>
                <w:color w:val="auto"/>
              </w:rPr>
            </w:pPr>
            <w:r>
              <w:rPr>
                <w:rFonts w:hint="eastAsia"/>
                <w:b/>
                <w:color w:val="auto"/>
              </w:rPr>
              <w:t>S</w:t>
            </w:r>
            <w:r>
              <w:rPr>
                <w:rFonts w:hint="eastAsia"/>
                <w:b/>
                <w:color w:val="auto"/>
                <w:vertAlign w:val="subscript"/>
              </w:rPr>
              <w:t>4</w:t>
            </w:r>
            <w:r>
              <w:rPr>
                <w:rFonts w:hint="eastAsia"/>
                <w:b/>
                <w:color w:val="auto"/>
              </w:rPr>
              <w:t>：</w:t>
            </w:r>
            <w:r>
              <w:rPr>
                <w:rFonts w:hint="eastAsia"/>
                <w:bCs/>
                <w:color w:val="auto"/>
              </w:rPr>
              <w:t>污水处理设施污泥；</w:t>
            </w:r>
          </w:p>
          <w:p>
            <w:pPr>
              <w:pStyle w:val="47"/>
              <w:keepNext w:val="0"/>
              <w:keepLines w:val="0"/>
              <w:suppressLineNumbers w:val="0"/>
              <w:snapToGrid/>
              <w:spacing w:before="0" w:beforeAutospacing="0" w:after="0" w:afterAutospacing="0"/>
              <w:ind w:left="0" w:right="0" w:firstLine="482"/>
              <w:rPr>
                <w:rFonts w:hint="eastAsia"/>
                <w:color w:val="auto"/>
              </w:rPr>
            </w:pPr>
            <w:r>
              <w:rPr>
                <w:rFonts w:hint="eastAsia"/>
                <w:b/>
                <w:color w:val="auto"/>
              </w:rPr>
              <w:t>S</w:t>
            </w:r>
            <w:r>
              <w:rPr>
                <w:rFonts w:hint="eastAsia"/>
                <w:b/>
                <w:color w:val="auto"/>
                <w:vertAlign w:val="subscript"/>
                <w:lang w:val="en-US" w:eastAsia="zh-CN"/>
              </w:rPr>
              <w:t>5</w:t>
            </w:r>
            <w:r>
              <w:rPr>
                <w:rFonts w:hint="eastAsia"/>
                <w:b/>
                <w:color w:val="auto"/>
              </w:rPr>
              <w:t>：</w:t>
            </w:r>
            <w:r>
              <w:rPr>
                <w:rFonts w:hint="eastAsia"/>
                <w:color w:val="auto"/>
                <w:spacing w:val="4"/>
              </w:rPr>
              <w:t>悼念、来访人员及工作人员</w:t>
            </w:r>
            <w:r>
              <w:rPr>
                <w:rFonts w:hint="eastAsia"/>
                <w:bCs/>
                <w:color w:val="auto"/>
              </w:rPr>
              <w:t>产生的生活垃圾。</w:t>
            </w:r>
          </w:p>
          <w:p>
            <w:pPr>
              <w:pStyle w:val="47"/>
              <w:keepNext w:val="0"/>
              <w:keepLines w:val="0"/>
              <w:suppressLineNumbers w:val="0"/>
              <w:snapToGrid/>
              <w:spacing w:before="0" w:beforeAutospacing="0" w:after="0" w:afterAutospacing="0"/>
              <w:ind w:left="0" w:right="0" w:firstLine="482"/>
              <w:rPr>
                <w:rFonts w:hint="eastAsia"/>
                <w:bCs/>
                <w:color w:val="auto"/>
              </w:rPr>
            </w:pPr>
            <w:r>
              <w:rPr>
                <w:rFonts w:hint="eastAsia"/>
                <w:b/>
                <w:color w:val="auto"/>
              </w:rPr>
              <w:t>S</w:t>
            </w:r>
            <w:r>
              <w:rPr>
                <w:rFonts w:hint="eastAsia"/>
                <w:b/>
                <w:color w:val="auto"/>
                <w:vertAlign w:val="subscript"/>
                <w:lang w:val="en-US" w:eastAsia="zh-CN"/>
              </w:rPr>
              <w:t>6</w:t>
            </w:r>
            <w:r>
              <w:rPr>
                <w:rFonts w:hint="eastAsia"/>
                <w:b/>
                <w:color w:val="auto"/>
              </w:rPr>
              <w:t>：</w:t>
            </w:r>
            <w:r>
              <w:rPr>
                <w:rFonts w:hint="eastAsia"/>
                <w:bCs/>
                <w:color w:val="auto"/>
              </w:rPr>
              <w:t>污水处理隔油池油渣；</w:t>
            </w:r>
          </w:p>
          <w:p>
            <w:pPr>
              <w:pStyle w:val="47"/>
              <w:keepNext w:val="0"/>
              <w:keepLines w:val="0"/>
              <w:suppressLineNumbers w:val="0"/>
              <w:snapToGrid/>
              <w:spacing w:before="0" w:beforeAutospacing="0" w:after="0" w:afterAutospacing="0"/>
              <w:ind w:left="0" w:right="0" w:firstLine="482"/>
              <w:rPr>
                <w:rFonts w:hint="eastAsia"/>
                <w:bCs/>
                <w:color w:val="auto"/>
              </w:rPr>
            </w:pPr>
            <w:r>
              <w:rPr>
                <w:rFonts w:hint="eastAsia"/>
                <w:b/>
                <w:color w:val="auto"/>
              </w:rPr>
              <w:t>S</w:t>
            </w:r>
            <w:r>
              <w:rPr>
                <w:rFonts w:hint="eastAsia"/>
                <w:b/>
                <w:color w:val="auto"/>
                <w:vertAlign w:val="subscript"/>
                <w:lang w:val="en-US" w:eastAsia="zh-CN"/>
              </w:rPr>
              <w:t>7</w:t>
            </w:r>
            <w:r>
              <w:rPr>
                <w:rFonts w:hint="eastAsia"/>
                <w:b/>
                <w:color w:val="auto"/>
              </w:rPr>
              <w:t>：</w:t>
            </w:r>
            <w:r>
              <w:rPr>
                <w:rFonts w:hint="eastAsia"/>
                <w:bCs/>
                <w:color w:val="auto"/>
              </w:rPr>
              <w:t>火化炉、焚烧炉配套烟气处理设施收集的焚烧飞灰、废脱硫粉、废活性炭；</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④噪声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主要噪声源为火化机、焚烧炉的鼓、引风机，烟气处理设施引风机，冰柜制冷机、备用柴油发电机运行噪声，悼念活动时高音喇叭、乐队奏乐以及人群哀悼等产生的噪声，以及交通噪声；这些噪声源强为70～105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gridSpan w:val="2"/>
            <w:vAlign w:val="center"/>
          </w:tcPr>
          <w:p>
            <w:pPr>
              <w:pStyle w:val="16"/>
              <w:keepNext w:val="0"/>
              <w:keepLines w:val="0"/>
              <w:suppressLineNumbers w:val="0"/>
              <w:adjustRightInd w:val="0"/>
              <w:snapToGrid w:val="0"/>
              <w:spacing w:before="0" w:beforeAutospacing="0" w:after="0" w:afterAutospacing="0"/>
              <w:ind w:left="0" w:right="0"/>
              <w:jc w:val="center"/>
              <w:rPr>
                <w:rFonts w:hint="eastAsia" w:cs="宋体"/>
                <w:color w:val="auto"/>
                <w:sz w:val="21"/>
                <w:szCs w:val="21"/>
              </w:rPr>
            </w:pPr>
            <w:r>
              <w:rPr>
                <w:rFonts w:hint="eastAsia" w:cs="宋体"/>
                <w:bCs/>
                <w:color w:val="auto"/>
                <w:kern w:val="2"/>
                <w:sz w:val="21"/>
                <w:szCs w:val="21"/>
              </w:rPr>
              <w:t>与项目有关的原有环境污染问题</w:t>
            </w:r>
          </w:p>
        </w:tc>
        <w:tc>
          <w:tcPr>
            <w:tcW w:w="4488" w:type="pct"/>
            <w:vAlign w:val="center"/>
          </w:tcPr>
          <w:p>
            <w:pPr>
              <w:keepNext w:val="0"/>
              <w:keepLines w:val="0"/>
              <w:suppressLineNumbers w:val="0"/>
              <w:adjustRightInd w:val="0"/>
              <w:snapToGrid w:val="0"/>
              <w:spacing w:before="0" w:beforeAutospacing="0" w:after="0" w:afterAutospacing="0" w:line="480" w:lineRule="exact"/>
              <w:ind w:left="0" w:right="0"/>
              <w:rPr>
                <w:rFonts w:hint="eastAsia" w:ascii="宋体" w:hAnsi="宋体"/>
                <w:bCs/>
                <w:color w:val="auto"/>
                <w:sz w:val="24"/>
              </w:rPr>
            </w:pP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宋体" w:hAnsi="宋体"/>
                <w:bCs/>
                <w:color w:val="auto"/>
                <w:sz w:val="24"/>
              </w:rPr>
            </w:pP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s="宋体"/>
                <w:bCs/>
                <w:color w:val="auto"/>
                <w:sz w:val="24"/>
              </w:rPr>
            </w:pPr>
            <w:r>
              <w:rPr>
                <w:rFonts w:hint="eastAsia" w:ascii="宋体" w:hAnsi="宋体"/>
                <w:bCs/>
                <w:color w:val="auto"/>
                <w:sz w:val="24"/>
              </w:rPr>
              <w:t>本项目为新建项目，拟建场址现状为</w:t>
            </w:r>
            <w:r>
              <w:rPr>
                <w:rFonts w:hint="eastAsia" w:ascii="宋体" w:hAnsi="宋体"/>
                <w:bCs/>
                <w:color w:val="auto"/>
                <w:sz w:val="24"/>
                <w:lang w:val="en-US" w:eastAsia="zh-CN"/>
              </w:rPr>
              <w:t>荒地</w:t>
            </w:r>
            <w:r>
              <w:rPr>
                <w:rFonts w:hint="eastAsia" w:ascii="宋体" w:hAnsi="宋体"/>
                <w:bCs/>
                <w:color w:val="auto"/>
                <w:sz w:val="24"/>
              </w:rPr>
              <w:t>，无</w:t>
            </w:r>
            <w:r>
              <w:rPr>
                <w:rFonts w:hint="eastAsia" w:cs="宋体"/>
                <w:bCs/>
                <w:color w:val="auto"/>
                <w:sz w:val="24"/>
              </w:rPr>
              <w:t>与项目有关的原有环境污染问题。</w:t>
            </w:r>
          </w:p>
          <w:p>
            <w:pPr>
              <w:keepNext w:val="0"/>
              <w:keepLines w:val="0"/>
              <w:suppressLineNumbers w:val="0"/>
              <w:adjustRightInd w:val="0"/>
              <w:snapToGrid w:val="0"/>
              <w:spacing w:before="0" w:beforeAutospacing="0" w:after="0" w:afterAutospacing="0" w:line="480" w:lineRule="exact"/>
              <w:ind w:left="0" w:right="0"/>
              <w:rPr>
                <w:rFonts w:hint="eastAsia" w:cs="宋体"/>
                <w:bCs/>
                <w:color w:val="auto"/>
                <w:sz w:val="24"/>
              </w:rPr>
            </w:pPr>
          </w:p>
          <w:p>
            <w:pPr>
              <w:keepNext w:val="0"/>
              <w:keepLines w:val="0"/>
              <w:suppressLineNumbers w:val="0"/>
              <w:adjustRightInd w:val="0"/>
              <w:snapToGrid w:val="0"/>
              <w:spacing w:before="0" w:beforeAutospacing="0" w:after="0" w:afterAutospacing="0" w:line="480" w:lineRule="exact"/>
              <w:ind w:left="0" w:right="0"/>
              <w:rPr>
                <w:rFonts w:hint="eastAsia" w:cs="宋体"/>
                <w:bCs/>
                <w:color w:val="auto"/>
                <w:sz w:val="24"/>
              </w:rPr>
            </w:pPr>
          </w:p>
        </w:tc>
      </w:tr>
    </w:tbl>
    <w:p>
      <w:pPr>
        <w:pStyle w:val="16"/>
        <w:jc w:val="center"/>
        <w:rPr>
          <w:rFonts w:ascii="黑体" w:hAnsi="黑体" w:eastAsia="黑体"/>
          <w:snapToGrid w:val="0"/>
          <w:color w:val="auto"/>
          <w:sz w:val="36"/>
          <w:szCs w:val="36"/>
        </w:rPr>
        <w:sectPr>
          <w:pgSz w:w="11906" w:h="16838"/>
          <w:pgMar w:top="1418" w:right="1418" w:bottom="1418" w:left="1418" w:header="851" w:footer="851" w:gutter="0"/>
          <w:pgNumType w:fmt="numberInDash"/>
          <w:cols w:space="720" w:num="1"/>
          <w:docGrid w:linePitch="312" w:charSpace="0"/>
        </w:sectPr>
      </w:pPr>
    </w:p>
    <w:p>
      <w:pPr>
        <w:pStyle w:val="16"/>
        <w:adjustRightInd w:val="0"/>
        <w:snapToGrid w:val="0"/>
        <w:spacing w:before="0" w:beforeAutospacing="0" w:after="0" w:afterAutospacing="0" w:line="14" w:lineRule="auto"/>
        <w:jc w:val="center"/>
        <w:outlineLvl w:val="0"/>
        <w:rPr>
          <w:rFonts w:ascii="黑体" w:hAnsi="黑体" w:eastAsia="黑体"/>
          <w:snapToGrid w:val="0"/>
          <w:color w:val="auto"/>
          <w:sz w:val="30"/>
          <w:szCs w:val="30"/>
        </w:rPr>
      </w:pP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现状</w:t>
            </w:r>
          </w:p>
        </w:tc>
        <w:tc>
          <w:tcPr>
            <w:tcW w:w="4759" w:type="pct"/>
            <w:vAlign w:val="center"/>
          </w:tcPr>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1、环境空气质量现状</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（1）区域环境空气质量现状</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本次评价收集到了忻州市五台县2020年环境空气质量例行监测资料，具体年均浓度值见下表。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color w:val="auto"/>
                <w:sz w:val="24"/>
                <w:vertAlign w:val="superscript"/>
              </w:rPr>
            </w:pPr>
            <w:r>
              <w:rPr>
                <w:rFonts w:hint="eastAsia" w:ascii="黑体" w:hAnsi="黑体" w:eastAsia="黑体"/>
                <w:color w:val="auto"/>
                <w:sz w:val="24"/>
              </w:rPr>
              <w:t xml:space="preserve">表3-1  </w:t>
            </w:r>
            <w:r>
              <w:rPr>
                <w:rFonts w:hint="eastAsia" w:ascii="黑体" w:hAnsi="黑体" w:eastAsia="黑体"/>
                <w:bCs/>
                <w:color w:val="auto"/>
                <w:sz w:val="24"/>
              </w:rPr>
              <w:t>忻州市五台县</w:t>
            </w:r>
            <w:r>
              <w:rPr>
                <w:rFonts w:hint="eastAsia" w:ascii="黑体" w:hAnsi="黑体" w:eastAsia="黑体"/>
                <w:color w:val="auto"/>
                <w:sz w:val="24"/>
              </w:rPr>
              <w:t>2020年环境空气质量例行监测评价表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096"/>
              <w:gridCol w:w="1874"/>
              <w:gridCol w:w="1350"/>
              <w:gridCol w:w="1350"/>
              <w:gridCol w:w="135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点位</w:t>
                  </w: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评价指标</w:t>
                  </w:r>
                </w:p>
              </w:tc>
              <w:tc>
                <w:tcPr>
                  <w:tcW w:w="78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浓度</w:t>
                  </w:r>
                </w:p>
                <w:p>
                  <w:pPr>
                    <w:keepNext w:val="0"/>
                    <w:keepLines w:val="0"/>
                    <w:suppressLineNumbers w:val="0"/>
                    <w:spacing w:before="0" w:beforeAutospacing="0" w:after="0" w:afterAutospacing="0"/>
                    <w:ind w:left="0" w:right="0"/>
                    <w:jc w:val="center"/>
                    <w:rPr>
                      <w:rFonts w:hint="eastAsia"/>
                      <w:color w:val="auto"/>
                      <w:szCs w:val="21"/>
                    </w:rPr>
                  </w:pP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78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标准值</w:t>
                  </w:r>
                </w:p>
                <w:p>
                  <w:pPr>
                    <w:keepNext w:val="0"/>
                    <w:keepLines w:val="0"/>
                    <w:suppressLineNumbers w:val="0"/>
                    <w:spacing w:before="0" w:beforeAutospacing="0" w:after="0" w:afterAutospacing="0"/>
                    <w:ind w:left="0" w:right="0"/>
                    <w:jc w:val="center"/>
                    <w:rPr>
                      <w:rFonts w:hint="eastAsia"/>
                      <w:color w:val="auto"/>
                      <w:szCs w:val="21"/>
                    </w:rPr>
                  </w:pP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占标率</w:t>
                  </w:r>
                </w:p>
              </w:tc>
              <w:tc>
                <w:tcPr>
                  <w:tcW w:w="53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达标</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restart"/>
                  <w:vAlign w:val="center"/>
                </w:tcPr>
                <w:p>
                  <w:pPr>
                    <w:keepNext w:val="0"/>
                    <w:keepLines w:val="0"/>
                    <w:suppressLineNumbers w:val="0"/>
                    <w:spacing w:before="0" w:beforeAutospacing="0" w:after="0" w:afterAutospacing="0"/>
                    <w:ind w:left="0" w:right="0"/>
                    <w:jc w:val="center"/>
                    <w:rPr>
                      <w:rFonts w:hint="eastAsia"/>
                      <w:color w:val="auto"/>
                    </w:rPr>
                  </w:pPr>
                  <w:r>
                    <w:rPr>
                      <w:rFonts w:hint="eastAsia"/>
                      <w:bCs/>
                      <w:color w:val="auto"/>
                    </w:rPr>
                    <w:t>忻州市五台县</w:t>
                  </w: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SO</w:t>
                  </w:r>
                  <w:r>
                    <w:rPr>
                      <w:rFonts w:hint="eastAsia"/>
                      <w:color w:val="auto"/>
                      <w:szCs w:val="21"/>
                      <w:vertAlign w:val="subscript"/>
                    </w:rPr>
                    <w:t>2</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年平均浓度</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25%</w:t>
                  </w:r>
                </w:p>
              </w:tc>
              <w:tc>
                <w:tcPr>
                  <w:tcW w:w="53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NO</w:t>
                  </w:r>
                  <w:r>
                    <w:rPr>
                      <w:rFonts w:hint="eastAsia"/>
                      <w:color w:val="auto"/>
                      <w:szCs w:val="21"/>
                      <w:vertAlign w:val="subscript"/>
                    </w:rPr>
                    <w:t>2</w:t>
                  </w:r>
                </w:p>
              </w:tc>
              <w:tc>
                <w:tcPr>
                  <w:tcW w:w="1087"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年平均浓度</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50%</w:t>
                  </w:r>
                </w:p>
              </w:tc>
              <w:tc>
                <w:tcPr>
                  <w:tcW w:w="53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PM</w:t>
                  </w:r>
                  <w:r>
                    <w:rPr>
                      <w:rFonts w:hint="eastAsia"/>
                      <w:color w:val="auto"/>
                      <w:szCs w:val="21"/>
                      <w:vertAlign w:val="subscript"/>
                    </w:rPr>
                    <w:t>10</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年平均浓度</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85.7%</w:t>
                  </w:r>
                </w:p>
              </w:tc>
              <w:tc>
                <w:tcPr>
                  <w:tcW w:w="53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8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PM</w:t>
                  </w:r>
                  <w:r>
                    <w:rPr>
                      <w:rFonts w:hint="eastAsia"/>
                      <w:color w:val="auto"/>
                      <w:szCs w:val="21"/>
                      <w:vertAlign w:val="subscript"/>
                    </w:rPr>
                    <w:t>2.5</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年平均浓度</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32</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91.4%</w:t>
                  </w:r>
                </w:p>
              </w:tc>
              <w:tc>
                <w:tcPr>
                  <w:tcW w:w="539" w:type="pct"/>
                  <w:vAlign w:val="center"/>
                </w:tcPr>
                <w:p>
                  <w:pPr>
                    <w:keepNext w:val="0"/>
                    <w:keepLines w:val="0"/>
                    <w:suppressLineNumbers w:val="0"/>
                    <w:spacing w:before="0" w:beforeAutospacing="0" w:after="0" w:afterAutospacing="0"/>
                    <w:ind w:left="0" w:right="0"/>
                    <w:jc w:val="center"/>
                    <w:rPr>
                      <w:rFonts w:hint="eastAsia"/>
                      <w:b/>
                      <w:bCs/>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CO</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24小时平均第95百分位数</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1.3 mg/m</w:t>
                  </w:r>
                  <w:r>
                    <w:rPr>
                      <w:rFonts w:hint="default" w:ascii="Times New Roman" w:hAnsi="Times New Roman" w:cs="Times New Roman"/>
                      <w:color w:val="auto"/>
                      <w:szCs w:val="21"/>
                      <w:vertAlign w:val="superscript"/>
                    </w:rPr>
                    <w:t>3</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 mg/m</w:t>
                  </w:r>
                  <w:r>
                    <w:rPr>
                      <w:rFonts w:hint="default" w:ascii="Times New Roman" w:hAnsi="Times New Roman" w:cs="Times New Roman"/>
                      <w:color w:val="auto"/>
                      <w:szCs w:val="21"/>
                      <w:vertAlign w:val="superscript"/>
                    </w:rPr>
                    <w:t>3</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32.5%</w:t>
                  </w:r>
                </w:p>
              </w:tc>
              <w:tc>
                <w:tcPr>
                  <w:tcW w:w="53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O</w:t>
                  </w:r>
                  <w:r>
                    <w:rPr>
                      <w:rFonts w:hint="eastAsia"/>
                      <w:color w:val="auto"/>
                      <w:szCs w:val="21"/>
                      <w:vertAlign w:val="subscript"/>
                    </w:rPr>
                    <w:t>3</w:t>
                  </w:r>
                </w:p>
              </w:tc>
              <w:tc>
                <w:tcPr>
                  <w:tcW w:w="108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日最大8小时滑动平均值的第90百分位数</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78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78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100%</w:t>
                  </w:r>
                </w:p>
              </w:tc>
              <w:tc>
                <w:tcPr>
                  <w:tcW w:w="539" w:type="pct"/>
                  <w:vAlign w:val="center"/>
                </w:tcPr>
                <w:p>
                  <w:pPr>
                    <w:keepNext w:val="0"/>
                    <w:keepLines w:val="0"/>
                    <w:suppressLineNumbers w:val="0"/>
                    <w:spacing w:before="0" w:beforeAutospacing="0" w:after="0" w:afterAutospacing="0"/>
                    <w:ind w:left="0" w:right="0"/>
                    <w:jc w:val="center"/>
                    <w:rPr>
                      <w:rFonts w:hint="eastAsia"/>
                      <w:b/>
                      <w:bCs/>
                      <w:color w:val="auto"/>
                      <w:szCs w:val="21"/>
                    </w:rPr>
                  </w:pPr>
                  <w:r>
                    <w:rPr>
                      <w:rFonts w:hint="eastAsia"/>
                      <w:color w:val="auto"/>
                      <w:szCs w:val="21"/>
                    </w:rPr>
                    <w:t>达标</w:t>
                  </w:r>
                </w:p>
              </w:tc>
            </w:tr>
          </w:tbl>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bCs/>
                <w:snapToGrid w:val="0"/>
                <w:color w:val="auto"/>
                <w:kern w:val="0"/>
                <w:sz w:val="24"/>
              </w:rPr>
              <w:t>根据例行监测数据统计结果，2020年</w:t>
            </w:r>
            <w:r>
              <w:rPr>
                <w:rFonts w:hint="eastAsia"/>
                <w:bCs/>
                <w:color w:val="auto"/>
                <w:sz w:val="24"/>
              </w:rPr>
              <w:t>忻州市五台县</w:t>
            </w:r>
            <w:r>
              <w:rPr>
                <w:rFonts w:hint="eastAsia"/>
                <w:color w:val="auto"/>
                <w:sz w:val="24"/>
              </w:rPr>
              <w:t>SO</w:t>
            </w:r>
            <w:r>
              <w:rPr>
                <w:rFonts w:hint="eastAsia"/>
                <w:color w:val="auto"/>
                <w:sz w:val="24"/>
                <w:vertAlign w:val="subscript"/>
              </w:rPr>
              <w:t>2</w:t>
            </w:r>
            <w:r>
              <w:rPr>
                <w:rFonts w:hint="eastAsia"/>
                <w:color w:val="auto"/>
                <w:sz w:val="24"/>
              </w:rPr>
              <w:t>年均浓度占标率为25%，NO</w:t>
            </w:r>
            <w:r>
              <w:rPr>
                <w:rFonts w:hint="eastAsia"/>
                <w:color w:val="auto"/>
                <w:sz w:val="24"/>
                <w:vertAlign w:val="subscript"/>
              </w:rPr>
              <w:t>2</w:t>
            </w:r>
            <w:r>
              <w:rPr>
                <w:rFonts w:hint="eastAsia"/>
                <w:color w:val="auto"/>
                <w:sz w:val="24"/>
              </w:rPr>
              <w:t>年均浓度占标率为50%，PM</w:t>
            </w:r>
            <w:r>
              <w:rPr>
                <w:rFonts w:hint="eastAsia"/>
                <w:color w:val="auto"/>
                <w:sz w:val="24"/>
                <w:vertAlign w:val="subscript"/>
              </w:rPr>
              <w:t>10</w:t>
            </w:r>
            <w:r>
              <w:rPr>
                <w:rFonts w:hint="eastAsia"/>
                <w:color w:val="auto"/>
                <w:sz w:val="24"/>
              </w:rPr>
              <w:t>年均浓度占标率为85.7%，PM</w:t>
            </w:r>
            <w:r>
              <w:rPr>
                <w:rFonts w:hint="eastAsia"/>
                <w:color w:val="auto"/>
                <w:sz w:val="24"/>
                <w:vertAlign w:val="subscript"/>
              </w:rPr>
              <w:t>2.5</w:t>
            </w:r>
            <w:r>
              <w:rPr>
                <w:rFonts w:hint="eastAsia"/>
                <w:color w:val="auto"/>
                <w:sz w:val="24"/>
              </w:rPr>
              <w:t>年均浓度占标率为91.4%，CO年均浓度占标率为32.5%，O</w:t>
            </w:r>
            <w:r>
              <w:rPr>
                <w:rFonts w:hint="eastAsia"/>
                <w:color w:val="auto"/>
                <w:sz w:val="24"/>
                <w:vertAlign w:val="subscript"/>
              </w:rPr>
              <w:t>3</w:t>
            </w:r>
            <w:r>
              <w:rPr>
                <w:rFonts w:hint="eastAsia"/>
                <w:color w:val="auto"/>
                <w:sz w:val="24"/>
              </w:rPr>
              <w:t>年均浓度占标率为100%，</w:t>
            </w:r>
            <w:bookmarkStart w:id="4" w:name="_Hlk5610171"/>
            <w:r>
              <w:rPr>
                <w:rFonts w:hint="eastAsia"/>
                <w:color w:val="auto"/>
                <w:sz w:val="24"/>
              </w:rPr>
              <w:t>六项基本污染物</w:t>
            </w:r>
            <w:r>
              <w:rPr>
                <w:rFonts w:hint="eastAsia"/>
                <w:bCs/>
                <w:snapToGrid w:val="0"/>
                <w:color w:val="auto"/>
                <w:kern w:val="0"/>
                <w:sz w:val="24"/>
              </w:rPr>
              <w:t>年均浓度均未超标</w:t>
            </w:r>
            <w:bookmarkEnd w:id="4"/>
            <w:r>
              <w:rPr>
                <w:rFonts w:hint="eastAsia"/>
                <w:bCs/>
                <w:snapToGrid w:val="0"/>
                <w:color w:val="auto"/>
                <w:kern w:val="0"/>
                <w:sz w:val="24"/>
              </w:rPr>
              <w:t>。</w:t>
            </w:r>
            <w:r>
              <w:rPr>
                <w:rFonts w:hint="eastAsia"/>
                <w:color w:val="auto"/>
                <w:sz w:val="24"/>
              </w:rPr>
              <w:t>根据《环境影响评价技术导则 大气环境》（HJ2.2-2018）和</w:t>
            </w:r>
            <w:r>
              <w:rPr>
                <w:rFonts w:hint="eastAsia"/>
                <w:bCs/>
                <w:snapToGrid w:val="0"/>
                <w:color w:val="auto"/>
                <w:kern w:val="0"/>
                <w:sz w:val="24"/>
              </w:rPr>
              <w:t>例行监测资料</w:t>
            </w:r>
            <w:r>
              <w:rPr>
                <w:rFonts w:hint="eastAsia"/>
                <w:color w:val="auto"/>
                <w:sz w:val="24"/>
              </w:rPr>
              <w:t>判定，</w:t>
            </w:r>
            <w:r>
              <w:rPr>
                <w:rFonts w:hint="eastAsia"/>
                <w:bCs/>
                <w:color w:val="auto"/>
                <w:sz w:val="24"/>
              </w:rPr>
              <w:t>忻州市五台县</w:t>
            </w:r>
            <w:r>
              <w:rPr>
                <w:rFonts w:hint="eastAsia"/>
                <w:color w:val="auto"/>
                <w:sz w:val="24"/>
              </w:rPr>
              <w:t>为达标区。</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（2）区域污染物质量现状监测与评价</w:t>
            </w:r>
          </w:p>
          <w:p>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略</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由上表可知，</w:t>
            </w:r>
            <w:r>
              <w:rPr>
                <w:rFonts w:hint="default" w:ascii="Times New Roman" w:hAnsi="Times New Roman" w:cs="Times New Roman"/>
                <w:color w:val="auto"/>
                <w:sz w:val="24"/>
                <w:szCs w:val="32"/>
              </w:rPr>
              <w:t>监测期间，黑虎岔村环境空气中</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Hg为未检出，满足《环境空气质量标准》（GB3095-2012）及其修改单中Hg二级标准限值（0.</w:t>
            </w:r>
            <w:r>
              <w:rPr>
                <w:rFonts w:hint="default" w:ascii="Times New Roman" w:hAnsi="Times New Roman" w:cs="Times New Roman"/>
                <w:color w:val="auto"/>
                <w:sz w:val="24"/>
                <w:szCs w:val="32"/>
                <w:lang w:val="en-US" w:eastAsia="zh-CN"/>
              </w:rPr>
              <w:t>1</w:t>
            </w:r>
            <w:r>
              <w:rPr>
                <w:rFonts w:hint="default" w:ascii="Times New Roman" w:hAnsi="Times New Roman" w:cs="Times New Roman"/>
                <w:color w:val="auto"/>
              </w:rPr>
              <w:t>μ</w:t>
            </w:r>
            <w:r>
              <w:rPr>
                <w:rFonts w:hint="default" w:ascii="Times New Roman" w:hAnsi="Times New Roman" w:cs="Times New Roman"/>
                <w:color w:val="auto"/>
                <w:sz w:val="24"/>
                <w:szCs w:val="32"/>
              </w:rPr>
              <w:t>g/m</w:t>
            </w:r>
            <w:r>
              <w:rPr>
                <w:rFonts w:hint="default" w:ascii="Times New Roman" w:hAnsi="Times New Roman" w:cs="Times New Roman"/>
                <w:color w:val="auto"/>
                <w:sz w:val="24"/>
                <w:szCs w:val="32"/>
                <w:vertAlign w:val="superscript"/>
              </w:rPr>
              <w:t>3</w:t>
            </w:r>
            <w:r>
              <w:rPr>
                <w:rFonts w:hint="default" w:ascii="Times New Roman" w:hAnsi="Times New Roman" w:cs="Times New Roman"/>
                <w:color w:val="auto"/>
                <w:sz w:val="24"/>
                <w:szCs w:val="32"/>
              </w:rPr>
              <w:t>）要求；氯化氢</w:t>
            </w:r>
            <w:r>
              <w:rPr>
                <w:rFonts w:hint="default" w:ascii="Times New Roman" w:hAnsi="Times New Roman" w:cs="Times New Roman"/>
                <w:color w:val="auto"/>
                <w:sz w:val="24"/>
                <w:szCs w:val="32"/>
                <w:lang w:val="en-US" w:eastAsia="zh-CN"/>
              </w:rPr>
              <w:t>为未检出</w:t>
            </w:r>
            <w:r>
              <w:rPr>
                <w:rFonts w:hint="default" w:ascii="Times New Roman" w:hAnsi="Times New Roman" w:cs="Times New Roman"/>
                <w:color w:val="auto"/>
                <w:sz w:val="24"/>
                <w:szCs w:val="32"/>
              </w:rPr>
              <w:t>，满足《环境影响评价技术导则 大气环境》（HJ 2.2-2018）附录D中氯化氢小时浓度限值（50</w:t>
            </w:r>
            <w:r>
              <w:rPr>
                <w:rFonts w:hint="default" w:ascii="Times New Roman" w:hAnsi="Times New Roman" w:cs="Times New Roman"/>
                <w:color w:val="auto"/>
              </w:rPr>
              <w:t>μ</w:t>
            </w:r>
            <w:r>
              <w:rPr>
                <w:rFonts w:hint="default" w:ascii="Times New Roman" w:hAnsi="Times New Roman" w:cs="Times New Roman"/>
                <w:color w:val="auto"/>
                <w:sz w:val="24"/>
                <w:szCs w:val="32"/>
              </w:rPr>
              <w:t>g/m</w:t>
            </w:r>
            <w:r>
              <w:rPr>
                <w:rFonts w:hint="default" w:ascii="Times New Roman" w:hAnsi="Times New Roman" w:cs="Times New Roman"/>
                <w:color w:val="auto"/>
                <w:sz w:val="24"/>
                <w:szCs w:val="32"/>
                <w:vertAlign w:val="superscript"/>
              </w:rPr>
              <w:t>3</w:t>
            </w:r>
            <w:r>
              <w:rPr>
                <w:rFonts w:hint="default" w:ascii="Times New Roman" w:hAnsi="Times New Roman" w:cs="Times New Roman"/>
                <w:color w:val="auto"/>
                <w:sz w:val="24"/>
                <w:szCs w:val="32"/>
              </w:rPr>
              <w:t>）要求；二噁英类</w:t>
            </w:r>
            <w:r>
              <w:rPr>
                <w:rFonts w:hint="default" w:ascii="Times New Roman" w:hAnsi="Times New Roman" w:cs="Times New Roman"/>
                <w:bCs/>
                <w:color w:val="auto"/>
                <w:sz w:val="24"/>
                <w:szCs w:val="32"/>
              </w:rPr>
              <w:t>总毒性当量范围为0.057-0.15</w:t>
            </w:r>
            <w:r>
              <w:rPr>
                <w:rFonts w:hint="default" w:ascii="Times New Roman" w:hAnsi="Times New Roman" w:cs="Times New Roman"/>
                <w:color w:val="auto"/>
                <w:sz w:val="24"/>
                <w:szCs w:val="32"/>
              </w:rPr>
              <w:t>TEQpg/m</w:t>
            </w:r>
            <w:r>
              <w:rPr>
                <w:rFonts w:hint="default" w:ascii="Times New Roman" w:hAnsi="Times New Roman" w:cs="Times New Roman"/>
                <w:color w:val="auto"/>
                <w:sz w:val="24"/>
                <w:szCs w:val="32"/>
                <w:vertAlign w:val="superscript"/>
              </w:rPr>
              <w:t>3</w:t>
            </w:r>
            <w:r>
              <w:rPr>
                <w:rFonts w:hint="default" w:ascii="Times New Roman" w:hAnsi="Times New Roman" w:cs="Times New Roman"/>
                <w:color w:val="auto"/>
                <w:sz w:val="24"/>
                <w:szCs w:val="32"/>
              </w:rPr>
              <w:t>之间</w:t>
            </w:r>
            <w:r>
              <w:rPr>
                <w:rFonts w:hint="default" w:ascii="Times New Roman" w:hAnsi="Times New Roman" w:cs="Times New Roman"/>
                <w:bCs/>
                <w:color w:val="auto"/>
                <w:sz w:val="24"/>
                <w:szCs w:val="32"/>
              </w:rPr>
              <w:t>，最大浓度占标率为</w:t>
            </w:r>
            <w:r>
              <w:rPr>
                <w:rFonts w:hint="default" w:ascii="Times New Roman" w:hAnsi="Times New Roman" w:cs="Times New Roman"/>
                <w:color w:val="auto"/>
                <w:sz w:val="24"/>
                <w:szCs w:val="32"/>
              </w:rPr>
              <w:t>12.</w:t>
            </w:r>
            <w:r>
              <w:rPr>
                <w:rFonts w:hint="default"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rPr>
              <w:t>%</w:t>
            </w:r>
            <w:r>
              <w:rPr>
                <w:rFonts w:hint="default" w:ascii="Times New Roman" w:hAnsi="Times New Roman" w:cs="Times New Roman"/>
                <w:bCs/>
                <w:color w:val="auto"/>
                <w:sz w:val="24"/>
                <w:szCs w:val="32"/>
              </w:rPr>
              <w:t>，</w:t>
            </w:r>
            <w:r>
              <w:rPr>
                <w:rFonts w:hint="default" w:ascii="Times New Roman" w:hAnsi="Times New Roman" w:cs="Times New Roman"/>
                <w:color w:val="auto"/>
                <w:sz w:val="24"/>
                <w:szCs w:val="32"/>
              </w:rPr>
              <w:t>二噁英类</w:t>
            </w:r>
            <w:r>
              <w:rPr>
                <w:rFonts w:hint="default" w:ascii="Times New Roman" w:hAnsi="Times New Roman" w:cs="Times New Roman"/>
                <w:color w:val="auto"/>
                <w:sz w:val="24"/>
                <w:szCs w:val="32"/>
                <w:lang w:val="en-US" w:eastAsia="zh-CN"/>
              </w:rPr>
              <w:t>日均值</w:t>
            </w:r>
            <w:r>
              <w:rPr>
                <w:rFonts w:hint="default" w:ascii="Times New Roman" w:hAnsi="Times New Roman" w:cs="Times New Roman"/>
                <w:bCs/>
                <w:color w:val="auto"/>
                <w:sz w:val="24"/>
                <w:szCs w:val="32"/>
              </w:rPr>
              <w:t>总毒性当量</w:t>
            </w:r>
            <w:r>
              <w:rPr>
                <w:rFonts w:hint="default" w:ascii="Times New Roman" w:hAnsi="Times New Roman" w:cs="Times New Roman"/>
                <w:color w:val="auto"/>
                <w:sz w:val="24"/>
                <w:szCs w:val="32"/>
              </w:rPr>
              <w:t>均未超过评价标准限值要求（</w:t>
            </w:r>
            <w:r>
              <w:rPr>
                <w:rFonts w:hint="default" w:ascii="Times New Roman" w:hAnsi="Times New Roman" w:cs="Times New Roman"/>
                <w:color w:val="auto"/>
                <w:sz w:val="24"/>
                <w:szCs w:val="32"/>
                <w:lang w:val="en-US" w:eastAsia="zh-CN"/>
              </w:rPr>
              <w:t>取年均值得2倍，为1.2</w:t>
            </w:r>
            <w:r>
              <w:rPr>
                <w:rFonts w:hint="default" w:ascii="Times New Roman" w:hAnsi="Times New Roman" w:cs="Times New Roman"/>
                <w:color w:val="auto"/>
                <w:sz w:val="24"/>
                <w:szCs w:val="32"/>
              </w:rPr>
              <w:t xml:space="preserve"> TEQpg/Nm</w:t>
            </w:r>
            <w:r>
              <w:rPr>
                <w:rFonts w:hint="default" w:ascii="Times New Roman" w:hAnsi="Times New Roman" w:cs="Times New Roman"/>
                <w:color w:val="auto"/>
                <w:sz w:val="24"/>
                <w:szCs w:val="32"/>
                <w:vertAlign w:val="superscript"/>
              </w:rPr>
              <w:t>3</w:t>
            </w:r>
            <w:r>
              <w:rPr>
                <w:rFonts w:hint="default" w:ascii="Times New Roman" w:hAnsi="Times New Roman" w:cs="Times New Roman"/>
                <w:color w:val="auto"/>
                <w:sz w:val="24"/>
                <w:szCs w:val="32"/>
              </w:rPr>
              <w:t>）。区域大气污染物现状质量浓度达标。</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2、</w:t>
            </w:r>
            <w:r>
              <w:rPr>
                <w:rFonts w:hint="eastAsia" w:hAnsi="宋体"/>
                <w:b/>
                <w:color w:val="auto"/>
                <w:sz w:val="24"/>
                <w:szCs w:val="32"/>
              </w:rPr>
              <w:t>地表水水环境质量现状</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所在区域地表水系为海河流域-滹沱河山区-滹沱河水系-清水河河流（环椿坪至坪上桥段）。本项目产生的废水经污水处理站处理后夏季可用于道路浇洒及绿化浇灌，冬季定期统一由罐车抽送至五台县生活污水处理厂。</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忻州市水污染防治工作领导小组办公室以忻水防办发[2021]1号文发布的“关于忻州市2020年地表水环境质量情况的通报”文件，忻州市全市8个国考断面水质考核目标：清水河坪上桥II类、滹沱河南庄II类、汾河河西村II类、黄河碛塄II类、牧马河陈家营II类、滹沱河代县桥II类、桑干河梵王寺Ⅲ类、滹沱河定襄桥IV类。本项目位于清水河坪上桥上游区域。</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2020年1-12月水质状况中清水河坪上桥水质为I类，满足清水河坪上桥II类水质考核目标。</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3、</w:t>
            </w:r>
            <w:r>
              <w:rPr>
                <w:rFonts w:hint="eastAsia" w:hAnsi="宋体"/>
                <w:b/>
                <w:color w:val="auto"/>
                <w:sz w:val="24"/>
                <w:szCs w:val="32"/>
              </w:rPr>
              <w:t>土壤环境质量现状</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根据《建设项目环境影响报告表编制技术指南》（污染影响类）中的总体要求，土壤、声环境不开展专项评价，因此本项目土壤环境影响评价不参照《环境影响评价技术导则 土壤环境（试行）》（HJ 964—2018）中的要求执行。</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同时，根据《建设项目环境影响报告表编制技术指南》（污染影响类）中区域环境质量现状调查原则，建设项目存在土壤、地下水环境污染途径的，应结合污染源、保护目标分布情况开展现状调查以留作背景值。本项目存在土壤污染影响且周边存在耕地等土壤环境保护目标，污染途径为大气沉降；因此于厂址外废气易扩散方向设置1个土壤监测点，监测本项目排放的特征污染物汞、二噁英类，留作背景值，因此不调查土壤理化特性。因本项目土壤污染途径为大气沉降，且场址内进行硬化和绿化，场址内土壤不属于土壤环境保护目标，因此不设场内监测点。</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kern w:val="0"/>
                <w:sz w:val="24"/>
                <w:lang w:val="en-US" w:eastAsia="zh-CN"/>
              </w:rPr>
            </w:pPr>
            <w:r>
              <w:rPr>
                <w:rFonts w:hint="eastAsia"/>
                <w:color w:val="auto"/>
                <w:kern w:val="0"/>
                <w:sz w:val="24"/>
                <w:lang w:val="en-US" w:eastAsia="zh-CN"/>
              </w:rPr>
              <w:t>略。</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
                <w:bCs/>
                <w:color w:val="auto"/>
                <w:kern w:val="0"/>
                <w:sz w:val="24"/>
              </w:rPr>
            </w:pPr>
            <w:r>
              <w:rPr>
                <w:rFonts w:hint="eastAsia"/>
                <w:color w:val="auto"/>
                <w:kern w:val="0"/>
                <w:sz w:val="24"/>
              </w:rPr>
              <w:t>由上表可知，</w:t>
            </w:r>
            <w:r>
              <w:rPr>
                <w:rFonts w:hint="eastAsia"/>
                <w:color w:val="auto"/>
                <w:sz w:val="24"/>
                <w:szCs w:val="32"/>
              </w:rPr>
              <w:t>本项目所在区域土壤检测因子中Hg可以达到</w:t>
            </w:r>
            <w:r>
              <w:rPr>
                <w:rFonts w:hint="eastAsia"/>
                <w:bCs/>
                <w:color w:val="auto"/>
                <w:sz w:val="24"/>
                <w:szCs w:val="32"/>
              </w:rPr>
              <w:t>《土壤环境质量 农用地土壤污染风险管控标准》（GB15618-2018）中农用地土壤污染筛选值限值要求；二噁英类（总毒性当量）</w:t>
            </w:r>
            <w:r>
              <w:rPr>
                <w:rFonts w:hint="eastAsia"/>
                <w:color w:val="auto"/>
                <w:sz w:val="24"/>
                <w:szCs w:val="32"/>
              </w:rPr>
              <w:t>可以达到《土壤环境质量 建设用地土壤污染风险管控标准》（GB36600-2018）第一类用地筛选值限值要求；区域土壤环境质量较好。</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4、</w:t>
            </w:r>
            <w:r>
              <w:rPr>
                <w:rFonts w:hint="eastAsia" w:hAnsi="宋体"/>
                <w:b/>
                <w:color w:val="auto"/>
                <w:sz w:val="24"/>
                <w:szCs w:val="32"/>
              </w:rPr>
              <w:t>声环境现状</w:t>
            </w:r>
          </w:p>
          <w:p>
            <w:pPr>
              <w:keepNext w:val="0"/>
              <w:keepLines w:val="0"/>
              <w:suppressLineNumbers w:val="0"/>
              <w:spacing w:before="0" w:beforeAutospacing="0" w:after="0" w:afterAutospacing="0" w:line="480" w:lineRule="exact"/>
              <w:ind w:left="0" w:right="0" w:firstLine="480" w:firstLineChars="200"/>
              <w:rPr>
                <w:rFonts w:hint="eastAsia" w:eastAsia="宋体"/>
                <w:color w:val="auto"/>
                <w:sz w:val="24"/>
                <w:szCs w:val="20"/>
                <w:lang w:val="en-US" w:eastAsia="zh-CN"/>
              </w:rPr>
            </w:pPr>
            <w:r>
              <w:rPr>
                <w:rFonts w:hint="eastAsia"/>
                <w:color w:val="auto"/>
                <w:sz w:val="24"/>
                <w:szCs w:val="20"/>
                <w:lang w:val="en-US" w:eastAsia="zh-CN"/>
              </w:rPr>
              <w:t>略</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color w:val="auto"/>
                <w:sz w:val="24"/>
                <w:szCs w:val="20"/>
              </w:rPr>
              <w:t>根据上表可知：监测期间项目厂界昼间噪声值在</w:t>
            </w:r>
            <w:r>
              <w:rPr>
                <w:rFonts w:hint="eastAsia"/>
                <w:color w:val="auto"/>
                <w:sz w:val="24"/>
                <w:szCs w:val="20"/>
                <w:lang w:val="en-US" w:eastAsia="zh-CN"/>
              </w:rPr>
              <w:t>52.6</w:t>
            </w:r>
            <w:r>
              <w:rPr>
                <w:rFonts w:hint="eastAsia"/>
                <w:color w:val="auto"/>
                <w:sz w:val="24"/>
                <w:szCs w:val="20"/>
              </w:rPr>
              <w:t>-5</w:t>
            </w:r>
            <w:r>
              <w:rPr>
                <w:rFonts w:hint="eastAsia"/>
                <w:color w:val="auto"/>
                <w:sz w:val="24"/>
                <w:szCs w:val="20"/>
                <w:lang w:val="en-US" w:eastAsia="zh-CN"/>
              </w:rPr>
              <w:t>4.1</w:t>
            </w:r>
            <w:r>
              <w:rPr>
                <w:rFonts w:hint="eastAsia"/>
                <w:color w:val="auto"/>
                <w:sz w:val="24"/>
                <w:szCs w:val="20"/>
              </w:rPr>
              <w:t>dB(A)，夜间噪声值在</w:t>
            </w:r>
            <w:r>
              <w:rPr>
                <w:rFonts w:hint="eastAsia"/>
                <w:color w:val="auto"/>
                <w:sz w:val="24"/>
                <w:szCs w:val="20"/>
                <w:lang w:val="en-US" w:eastAsia="zh-CN"/>
              </w:rPr>
              <w:t>42.1</w:t>
            </w:r>
            <w:r>
              <w:rPr>
                <w:rFonts w:hint="eastAsia"/>
                <w:color w:val="auto"/>
                <w:sz w:val="24"/>
                <w:szCs w:val="20"/>
              </w:rPr>
              <w:t>-</w:t>
            </w:r>
            <w:r>
              <w:rPr>
                <w:rFonts w:hint="eastAsia"/>
                <w:color w:val="auto"/>
                <w:sz w:val="24"/>
                <w:szCs w:val="20"/>
                <w:lang w:val="en-US" w:eastAsia="zh-CN"/>
              </w:rPr>
              <w:t>43.5</w:t>
            </w:r>
            <w:r>
              <w:rPr>
                <w:rFonts w:hint="eastAsia"/>
                <w:color w:val="auto"/>
                <w:sz w:val="24"/>
                <w:szCs w:val="20"/>
              </w:rPr>
              <w:t>dB(A)，均满足《声环境质量标准》(GB3096-2008)2类标准限值要求。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kern w:val="0"/>
                <w:sz w:val="24"/>
              </w:rPr>
            </w:pPr>
            <w:r>
              <w:rPr>
                <w:rFonts w:hint="eastAsia"/>
                <w:b/>
                <w:bCs/>
                <w:color w:val="auto"/>
                <w:kern w:val="0"/>
                <w:sz w:val="24"/>
              </w:rPr>
              <w:t>5、</w:t>
            </w:r>
            <w:r>
              <w:rPr>
                <w:rFonts w:hint="eastAsia" w:hAnsi="宋体"/>
                <w:b/>
                <w:color w:val="auto"/>
                <w:sz w:val="24"/>
                <w:szCs w:val="32"/>
              </w:rPr>
              <w:t>生态环境现状</w:t>
            </w:r>
          </w:p>
          <w:p>
            <w:pPr>
              <w:keepNext w:val="0"/>
              <w:keepLines w:val="0"/>
              <w:suppressLineNumbers w:val="0"/>
              <w:spacing w:before="0" w:beforeAutospacing="0" w:after="0" w:afterAutospacing="0" w:line="480" w:lineRule="exact"/>
              <w:ind w:left="0" w:right="0" w:firstLine="480" w:firstLineChars="200"/>
              <w:rPr>
                <w:rFonts w:hint="eastAsia" w:ascii="宋体" w:hAnsi="宋体" w:cs="宋体"/>
                <w:color w:val="auto"/>
                <w:kern w:val="0"/>
                <w:szCs w:val="21"/>
              </w:rPr>
            </w:pPr>
            <w:r>
              <w:rPr>
                <w:rFonts w:hint="eastAsia"/>
                <w:color w:val="auto"/>
                <w:sz w:val="24"/>
              </w:rPr>
              <w:t>项目拟建场址位于山西省忻州市五台县</w:t>
            </w:r>
            <w:r>
              <w:rPr>
                <w:rFonts w:hint="eastAsia"/>
                <w:color w:val="auto"/>
                <w:sz w:val="24"/>
                <w:lang w:val="en-US" w:eastAsia="zh-CN"/>
              </w:rPr>
              <w:t>沟南</w:t>
            </w:r>
            <w:r>
              <w:rPr>
                <w:rFonts w:hint="eastAsia"/>
                <w:color w:val="auto"/>
                <w:sz w:val="24"/>
              </w:rPr>
              <w:t>乡</w:t>
            </w:r>
            <w:r>
              <w:rPr>
                <w:rFonts w:hint="eastAsia"/>
                <w:color w:val="auto"/>
                <w:sz w:val="24"/>
                <w:lang w:val="en-US" w:eastAsia="zh-CN"/>
              </w:rPr>
              <w:t>南山</w:t>
            </w:r>
            <w:r>
              <w:rPr>
                <w:rFonts w:hint="eastAsia"/>
                <w:color w:val="auto"/>
                <w:sz w:val="24"/>
              </w:rPr>
              <w:t>村，拟建场址占地面积</w:t>
            </w:r>
            <w:r>
              <w:rPr>
                <w:rFonts w:hint="eastAsia"/>
                <w:color w:val="auto"/>
                <w:sz w:val="24"/>
                <w:lang w:val="en-US" w:eastAsia="zh-CN"/>
              </w:rPr>
              <w:t>23123</w:t>
            </w:r>
            <w:r>
              <w:rPr>
                <w:rFonts w:hint="eastAsia"/>
                <w:color w:val="auto"/>
                <w:sz w:val="24"/>
              </w:rPr>
              <w:t>m</w:t>
            </w:r>
            <w:r>
              <w:rPr>
                <w:rFonts w:hint="eastAsia"/>
                <w:color w:val="auto"/>
                <w:sz w:val="24"/>
                <w:vertAlign w:val="superscript"/>
              </w:rPr>
              <w:t>2</w:t>
            </w:r>
            <w:r>
              <w:rPr>
                <w:rFonts w:hint="eastAsia"/>
                <w:color w:val="auto"/>
                <w:sz w:val="24"/>
                <w:lang w:eastAsia="zh-CN"/>
              </w:rPr>
              <w:t>，</w:t>
            </w:r>
            <w:r>
              <w:rPr>
                <w:rFonts w:hint="eastAsia"/>
                <w:color w:val="auto"/>
                <w:sz w:val="24"/>
              </w:rPr>
              <w:t>拟建场址四周</w:t>
            </w:r>
            <w:r>
              <w:rPr>
                <w:rFonts w:hint="eastAsia"/>
                <w:color w:val="auto"/>
                <w:sz w:val="24"/>
                <w:lang w:val="en-US" w:eastAsia="zh-CN"/>
              </w:rPr>
              <w:t>荒山及耕地</w:t>
            </w:r>
            <w:r>
              <w:rPr>
                <w:rFonts w:hint="eastAsia"/>
                <w:color w:val="auto"/>
                <w:sz w:val="24"/>
              </w:rPr>
              <w:t>。</w:t>
            </w:r>
            <w:r>
              <w:rPr>
                <w:rFonts w:hint="eastAsia"/>
                <w:color w:val="auto"/>
                <w:spacing w:val="4"/>
                <w:sz w:val="24"/>
              </w:rPr>
              <w:t>项目附近以农业生态环境为主。</w:t>
            </w:r>
            <w:r>
              <w:rPr>
                <w:rFonts w:hint="eastAsia"/>
                <w:color w:val="auto"/>
                <w:sz w:val="24"/>
              </w:rPr>
              <w:t>项目四周植被类型比较单一，自然环境一般，主要是农业生态环境为主，无天然林及珍稀植被。</w:t>
            </w:r>
            <w:r>
              <w:rPr>
                <w:rFonts w:hint="eastAsia"/>
                <w:color w:val="auto"/>
                <w:spacing w:val="4"/>
                <w:sz w:val="24"/>
              </w:rPr>
              <w:t>因此</w:t>
            </w:r>
            <w:r>
              <w:rPr>
                <w:rFonts w:hint="eastAsia"/>
                <w:color w:val="auto"/>
                <w:sz w:val="24"/>
              </w:rPr>
              <w:t>区域内生物多样性程度较低，无需要特殊保护的动植物资源。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4759" w:type="pct"/>
            <w:vAlign w:val="center"/>
          </w:tcPr>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1、大气环境</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bCs/>
                <w:color w:val="auto"/>
                <w:sz w:val="24"/>
                <w:lang w:eastAsia="zh-CN"/>
              </w:rPr>
            </w:pPr>
            <w:r>
              <w:rPr>
                <w:rFonts w:hint="eastAsia"/>
                <w:b w:val="0"/>
                <w:bCs/>
                <w:color w:val="auto"/>
                <w:sz w:val="24"/>
                <w:lang w:val="en-US" w:eastAsia="zh-CN"/>
              </w:rPr>
              <w:t>本项目拟建场址位于</w:t>
            </w:r>
            <w:r>
              <w:rPr>
                <w:rFonts w:hint="eastAsia"/>
                <w:b w:val="0"/>
                <w:bCs/>
                <w:color w:val="auto"/>
                <w:sz w:val="24"/>
              </w:rPr>
              <w:t>山西省忻州市五台县沟南乡南山村，</w:t>
            </w:r>
            <w:r>
              <w:rPr>
                <w:rFonts w:hint="eastAsia" w:cs="Times New Roman"/>
                <w:color w:val="auto"/>
                <w:kern w:val="0"/>
                <w:sz w:val="24"/>
                <w:szCs w:val="24"/>
                <w:lang w:val="en-US" w:eastAsia="zh-CN"/>
              </w:rPr>
              <w:t>沟南乡南山村因水电路不通，1995年已成空壳村，属于自然移民，已全部移民至北侧约2400m的松台村；距本项目拟建场址最近的居住区为距场址东南侧约1450m的黑虎岔村；</w:t>
            </w:r>
            <w:r>
              <w:rPr>
                <w:rFonts w:hint="eastAsia"/>
                <w:b w:val="0"/>
                <w:bCs/>
                <w:color w:val="auto"/>
                <w:sz w:val="24"/>
                <w:lang w:val="en-US" w:eastAsia="zh-CN"/>
              </w:rPr>
              <w:t>本项目拟建场址</w:t>
            </w:r>
            <w:r>
              <w:rPr>
                <w:rFonts w:hint="eastAsia"/>
                <w:color w:val="auto"/>
                <w:sz w:val="24"/>
              </w:rPr>
              <w:t>位于</w:t>
            </w:r>
            <w:r>
              <w:rPr>
                <w:rFonts w:hint="eastAsia"/>
                <w:bCs/>
                <w:color w:val="auto"/>
                <w:sz w:val="24"/>
              </w:rPr>
              <w:t>五台县中心城区边界、建成区边界</w:t>
            </w:r>
            <w:r>
              <w:rPr>
                <w:rFonts w:hint="eastAsia"/>
                <w:bCs/>
                <w:color w:val="auto"/>
                <w:sz w:val="24"/>
                <w:lang w:val="en-US" w:eastAsia="zh-CN"/>
              </w:rPr>
              <w:t>南</w:t>
            </w:r>
            <w:r>
              <w:rPr>
                <w:rFonts w:hint="eastAsia"/>
                <w:bCs/>
                <w:color w:val="auto"/>
                <w:sz w:val="24"/>
              </w:rPr>
              <w:t>侧约</w:t>
            </w:r>
            <w:r>
              <w:rPr>
                <w:rFonts w:hint="eastAsia"/>
                <w:bCs/>
                <w:color w:val="auto"/>
                <w:sz w:val="24"/>
                <w:lang w:val="en-US" w:eastAsia="zh-CN"/>
              </w:rPr>
              <w:t>5.3</w:t>
            </w:r>
            <w:r>
              <w:rPr>
                <w:rFonts w:hint="eastAsia"/>
                <w:bCs/>
                <w:color w:val="auto"/>
                <w:sz w:val="24"/>
              </w:rPr>
              <w:t>km处</w:t>
            </w:r>
            <w:r>
              <w:rPr>
                <w:rFonts w:hint="eastAsia"/>
                <w:bCs/>
                <w:color w:val="auto"/>
                <w:sz w:val="24"/>
                <w:lang w:eastAsia="zh-CN"/>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因此，本项目厂界外500米范围内不存在自然保护区、风景名胜区、居住区、文化区和农村地区中人群较集中的区域等保护目标。</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2、声环境</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bCs/>
                <w:color w:val="auto"/>
                <w:sz w:val="24"/>
              </w:rPr>
              <w:t>拟建场址四周均为</w:t>
            </w:r>
            <w:r>
              <w:rPr>
                <w:rFonts w:hint="eastAsia"/>
                <w:bCs/>
                <w:color w:val="auto"/>
                <w:sz w:val="24"/>
                <w:lang w:val="en-US" w:eastAsia="zh-CN"/>
              </w:rPr>
              <w:t>荒山和</w:t>
            </w:r>
            <w:r>
              <w:rPr>
                <w:rFonts w:hint="eastAsia"/>
                <w:bCs/>
                <w:color w:val="auto"/>
                <w:sz w:val="24"/>
              </w:rPr>
              <w:t>耕地，</w:t>
            </w:r>
            <w:r>
              <w:rPr>
                <w:rFonts w:hint="eastAsia"/>
                <w:color w:val="auto"/>
                <w:sz w:val="24"/>
              </w:rPr>
              <w:t>本项目厂界外50米范围内无声环境保护目标。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2" w:firstLineChars="200"/>
              <w:textAlignment w:val="auto"/>
              <w:rPr>
                <w:rFonts w:hint="eastAsia"/>
                <w:b/>
                <w:bCs/>
                <w:color w:val="auto"/>
                <w:sz w:val="24"/>
                <w:lang w:val="en-US" w:eastAsia="zh-CN"/>
              </w:rPr>
            </w:pPr>
            <w:r>
              <w:rPr>
                <w:rFonts w:hint="eastAsia"/>
                <w:b/>
                <w:bCs/>
                <w:color w:val="auto"/>
                <w:sz w:val="24"/>
                <w:lang w:val="en-US" w:eastAsia="zh-CN"/>
              </w:rPr>
              <w:t>3、地表水环境</w:t>
            </w:r>
          </w:p>
          <w:p>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bCs/>
                <w:color w:val="auto"/>
                <w:sz w:val="24"/>
                <w:lang w:val="en-US" w:eastAsia="zh-CN"/>
              </w:rPr>
            </w:pPr>
            <w:r>
              <w:rPr>
                <w:rFonts w:hint="eastAsia"/>
                <w:bCs/>
                <w:color w:val="auto"/>
                <w:sz w:val="24"/>
              </w:rPr>
              <w:t>本项目所在区域地表水系为海河流域-滹沱河山区-滹沱河水系-清水河河流（环椿坪至坪上桥段）</w:t>
            </w:r>
            <w:r>
              <w:rPr>
                <w:rFonts w:hint="eastAsia"/>
                <w:bCs/>
                <w:color w:val="auto"/>
                <w:sz w:val="24"/>
                <w:lang w:eastAsia="zh-CN"/>
              </w:rPr>
              <w:t>，</w:t>
            </w:r>
            <w:r>
              <w:rPr>
                <w:rFonts w:hint="eastAsia"/>
                <w:bCs/>
                <w:color w:val="auto"/>
                <w:sz w:val="24"/>
                <w:lang w:val="en-US" w:eastAsia="zh-CN"/>
              </w:rPr>
              <w:t>根据《山西省地表水环境功能区划》（DB14/67-2019）,</w:t>
            </w:r>
            <w:r>
              <w:rPr>
                <w:rFonts w:hint="eastAsia"/>
                <w:bCs/>
                <w:color w:val="auto"/>
                <w:sz w:val="24"/>
              </w:rPr>
              <w:t>清水河河流（环椿坪至坪上桥段）</w:t>
            </w:r>
            <w:r>
              <w:rPr>
                <w:rFonts w:hint="eastAsia"/>
                <w:bCs/>
                <w:color w:val="auto"/>
                <w:sz w:val="24"/>
                <w:lang w:val="en-US" w:eastAsia="zh-CN"/>
              </w:rPr>
              <w:t>水环境功能为过渡区水源保护，水质要求为Ⅲ-Ⅱ类水质</w:t>
            </w:r>
            <w:r>
              <w:rPr>
                <w:rFonts w:hint="eastAsia"/>
                <w:bCs/>
                <w:color w:val="auto"/>
                <w:sz w:val="24"/>
                <w:lang w:eastAsia="zh-CN"/>
              </w:rPr>
              <w:t>；</w:t>
            </w:r>
            <w:r>
              <w:rPr>
                <w:rFonts w:hint="eastAsia"/>
                <w:bCs/>
                <w:color w:val="auto"/>
                <w:sz w:val="24"/>
                <w:lang w:val="en-US" w:eastAsia="zh-CN"/>
              </w:rPr>
              <w:t>本项目位于滹沱河东北方向约7.7km处，位于清水河北侧约16.2km处，位于滤泗河西南侧约4.3km处。</w:t>
            </w:r>
          </w:p>
          <w:p>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olor w:val="auto"/>
                <w:sz w:val="24"/>
                <w:lang w:val="en-US" w:eastAsia="zh-CN"/>
              </w:rPr>
            </w:pPr>
            <w:r>
              <w:rPr>
                <w:rFonts w:hint="eastAsia"/>
                <w:bCs/>
                <w:color w:val="auto"/>
                <w:sz w:val="24"/>
                <w:lang w:val="en-US" w:eastAsia="zh-CN"/>
              </w:rPr>
              <w:t>本项目距离最近的河流为滤泗河，位于滤泗河西南侧约4.3km处。</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lang w:val="en-US" w:eastAsia="zh-CN"/>
              </w:rPr>
              <w:t>4</w:t>
            </w:r>
            <w:r>
              <w:rPr>
                <w:rFonts w:hint="eastAsia"/>
                <w:b/>
                <w:bCs/>
                <w:color w:val="auto"/>
                <w:sz w:val="24"/>
              </w:rPr>
              <w:t>、地下水环境</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sz w:val="24"/>
                <w:lang w:val="en-US" w:eastAsia="zh-CN"/>
              </w:rPr>
            </w:pPr>
            <w:r>
              <w:rPr>
                <w:rFonts w:hint="eastAsia"/>
                <w:color w:val="auto"/>
                <w:sz w:val="24"/>
                <w:lang w:val="en-US" w:eastAsia="zh-CN"/>
              </w:rPr>
              <w:t>略。</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因此，本项目厂界外500米范围内无地下水集中式饮用水水源和热水、矿泉水、温泉等特殊地下水资源。</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lang w:val="en-US" w:eastAsia="zh-CN"/>
              </w:rPr>
              <w:t>5</w:t>
            </w:r>
            <w:r>
              <w:rPr>
                <w:rFonts w:hint="eastAsia"/>
                <w:b/>
                <w:bCs/>
                <w:color w:val="auto"/>
                <w:sz w:val="24"/>
              </w:rPr>
              <w:t>、生态环境</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产业园区外建设项目新增用地的，应明确新增用地范围内生态环境保护目标。</w:t>
            </w:r>
            <w:r>
              <w:rPr>
                <w:rFonts w:hint="eastAsia"/>
                <w:b w:val="0"/>
                <w:bCs/>
                <w:color w:val="auto"/>
                <w:sz w:val="24"/>
                <w:lang w:val="en-US" w:eastAsia="zh-CN"/>
              </w:rPr>
              <w:t>本项目拟建场址位于</w:t>
            </w:r>
            <w:r>
              <w:rPr>
                <w:rFonts w:hint="eastAsia"/>
                <w:b w:val="0"/>
                <w:bCs/>
                <w:color w:val="auto"/>
                <w:sz w:val="24"/>
              </w:rPr>
              <w:t>山西省忻州市五台县沟南乡南山村，</w:t>
            </w:r>
            <w:r>
              <w:rPr>
                <w:rFonts w:hint="eastAsia"/>
                <w:color w:val="auto"/>
                <w:sz w:val="24"/>
                <w:lang w:val="en-US" w:eastAsia="zh-CN"/>
              </w:rPr>
              <w:t>项目占地范围土地利用现状为其他草地，后续将变更为殡葬用地；五台县自然资源局于2022年1月27日对本项目用地预审与规划选址进行了公示（见附件）；五台县人民政府于2022年3月10日以五政土地[2022]4号文对本项目用地进行批复（见附件）；</w:t>
            </w:r>
            <w:r>
              <w:rPr>
                <w:rFonts w:hint="eastAsia"/>
                <w:color w:val="auto"/>
                <w:sz w:val="24"/>
              </w:rPr>
              <w:t>本项目新增用地范围内无生态环境保护目标。</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本项目环境保护目标见下表。</w:t>
            </w:r>
            <w:r>
              <w:rPr>
                <w:rFonts w:hint="eastAsia"/>
                <w:color w:val="auto"/>
                <w:sz w:val="24"/>
                <w:lang w:val="en-US" w:eastAsia="zh-CN"/>
              </w:rPr>
              <w:t>本项目环境保护目标图见附图1b。</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表3-1</w:t>
            </w:r>
            <w:r>
              <w:rPr>
                <w:rFonts w:hint="eastAsia" w:ascii="黑体" w:hAnsi="黑体" w:eastAsia="黑体"/>
                <w:bCs/>
                <w:color w:val="auto"/>
                <w:sz w:val="24"/>
                <w:lang w:val="en-US" w:eastAsia="zh-CN"/>
              </w:rPr>
              <w:t>6</w:t>
            </w:r>
            <w:r>
              <w:rPr>
                <w:rFonts w:hint="eastAsia" w:ascii="黑体" w:hAnsi="黑体" w:eastAsia="黑体"/>
                <w:bCs/>
                <w:color w:val="auto"/>
                <w:sz w:val="24"/>
              </w:rPr>
              <w:t xml:space="preserve">  环境保护目标一览表</w:t>
            </w:r>
          </w:p>
          <w:tbl>
            <w:tblPr>
              <w:tblStyle w:val="20"/>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138"/>
              <w:gridCol w:w="1701"/>
              <w:gridCol w:w="991"/>
              <w:gridCol w:w="992"/>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类别</w:t>
                  </w:r>
                </w:p>
              </w:tc>
              <w:tc>
                <w:tcPr>
                  <w:tcW w:w="11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保护目标名称</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坐标</w:t>
                  </w:r>
                </w:p>
              </w:tc>
              <w:tc>
                <w:tcPr>
                  <w:tcW w:w="99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相对厂址方位</w:t>
                  </w:r>
                </w:p>
              </w:tc>
              <w:tc>
                <w:tcPr>
                  <w:tcW w:w="9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距离</w:t>
                  </w:r>
                </w:p>
              </w:tc>
              <w:tc>
                <w:tcPr>
                  <w:tcW w:w="28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环境空气</w:t>
                  </w:r>
                </w:p>
              </w:tc>
              <w:tc>
                <w:tcPr>
                  <w:tcW w:w="767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olor w:val="auto"/>
                    </w:rPr>
                  </w:pPr>
                  <w:r>
                    <w:rPr>
                      <w:rFonts w:hint="eastAsia"/>
                      <w:color w:val="auto"/>
                      <w:lang w:val="en-US" w:eastAsia="zh-CN"/>
                    </w:rPr>
                    <w:t>距本项目拟建场址最近的居住区为距场址东南侧约1450m的黑虎岔村；因此，本项目厂界外500米范围内不存在自然保护区、风景名胜区、居住区、文化区和农村地区中人群较集中的区域等保护目标。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声环境</w:t>
                  </w:r>
                </w:p>
              </w:tc>
              <w:tc>
                <w:tcPr>
                  <w:tcW w:w="767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olor w:val="auto"/>
                    </w:rPr>
                  </w:pPr>
                  <w:r>
                    <w:rPr>
                      <w:rFonts w:hint="eastAsia"/>
                      <w:color w:val="auto"/>
                    </w:rPr>
                    <w:t>拟建场址四周均为</w:t>
                  </w:r>
                  <w:r>
                    <w:rPr>
                      <w:rFonts w:hint="eastAsia"/>
                      <w:color w:val="auto"/>
                      <w:lang w:val="en-US" w:eastAsia="zh-CN"/>
                    </w:rPr>
                    <w:t>荒山和</w:t>
                  </w:r>
                  <w:r>
                    <w:rPr>
                      <w:rFonts w:hint="eastAsia"/>
                      <w:color w:val="auto"/>
                    </w:rPr>
                    <w:t>耕地，本项目厂界外50米范围内无声环境保护目标。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地下水</w:t>
                  </w:r>
                </w:p>
              </w:tc>
              <w:tc>
                <w:tcPr>
                  <w:tcW w:w="767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olor w:val="auto"/>
                      <w:lang w:eastAsia="zh-CN"/>
                    </w:rPr>
                  </w:pPr>
                  <w:r>
                    <w:rPr>
                      <w:rFonts w:hint="eastAsia"/>
                      <w:color w:val="auto"/>
                    </w:rPr>
                    <w:t>距离本项目最近的乡镇集中式水源地为项目西侧约</w:t>
                  </w:r>
                  <w:r>
                    <w:rPr>
                      <w:rFonts w:hint="eastAsia"/>
                      <w:color w:val="auto"/>
                      <w:lang w:val="en-US" w:eastAsia="zh-CN"/>
                    </w:rPr>
                    <w:t>8.4</w:t>
                  </w:r>
                  <w:r>
                    <w:rPr>
                      <w:rFonts w:hint="eastAsia"/>
                      <w:color w:val="auto"/>
                    </w:rPr>
                    <w:t>km处的</w:t>
                  </w:r>
                  <w:r>
                    <w:rPr>
                      <w:rFonts w:hint="eastAsia"/>
                      <w:color w:val="auto"/>
                      <w:lang w:val="en-US" w:eastAsia="zh-CN"/>
                    </w:rPr>
                    <w:t>东冶镇</w:t>
                  </w:r>
                  <w:r>
                    <w:rPr>
                      <w:rFonts w:hint="eastAsia"/>
                      <w:color w:val="auto"/>
                    </w:rPr>
                    <w:t>集中供水水源地。厂界外500米范围内无地下水集中式饮用水水源和热水、矿泉水、温泉等特殊地下水资源</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rPr>
                  </w:pPr>
                  <w:r>
                    <w:rPr>
                      <w:rFonts w:hint="eastAsia"/>
                      <w:color w:val="auto"/>
                    </w:rPr>
                    <w:t>生态</w:t>
                  </w:r>
                </w:p>
              </w:tc>
              <w:tc>
                <w:tcPr>
                  <w:tcW w:w="767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olor w:val="auto"/>
                    </w:rPr>
                  </w:pPr>
                  <w:r>
                    <w:rPr>
                      <w:rFonts w:hint="eastAsia"/>
                      <w:color w:val="auto"/>
                      <w:lang w:val="en-US" w:eastAsia="zh-CN"/>
                    </w:rPr>
                    <w:t>本项目拟建场址位于</w:t>
                  </w:r>
                  <w:r>
                    <w:rPr>
                      <w:rFonts w:hint="eastAsia"/>
                      <w:color w:val="auto"/>
                    </w:rPr>
                    <w:t>山西省忻州市五台县沟南乡南山村，</w:t>
                  </w:r>
                  <w:r>
                    <w:rPr>
                      <w:rFonts w:hint="eastAsia"/>
                      <w:color w:val="auto"/>
                      <w:lang w:val="en-US" w:eastAsia="zh-CN"/>
                    </w:rPr>
                    <w:t>项目占地范围土地利用现状为其他草地，后续将变更为殡葬用地；本项目新增用地范围内无生态环境保护目标。</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241"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准</w:t>
            </w:r>
          </w:p>
        </w:tc>
        <w:tc>
          <w:tcPr>
            <w:tcW w:w="4759" w:type="pct"/>
            <w:vAlign w:val="center"/>
          </w:tcPr>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1、大气污染物排放标准</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遗体火化的废气排放执行《火葬场大气污染物排放标准》（GB13801-2015）中表2新建单位遗体火化大气污染物排放限值；遗物、祭品焚烧废气排放执行《火葬场大气污染物排放标准》（GB13801-2015）中表3遗物祭品焚烧大气污染物排放限值。遗体火化过程中可能会排放异味，厂界臭气浓度执行《恶臭污染物排放标准》（GB14554-93）中恶臭污染物厂界标准值；具体标准值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szCs w:val="32"/>
              </w:rPr>
            </w:pPr>
            <w:r>
              <w:rPr>
                <w:rFonts w:hint="eastAsia" w:ascii="黑体" w:hAnsi="黑体" w:eastAsia="黑体"/>
                <w:bCs/>
                <w:color w:val="auto"/>
                <w:sz w:val="24"/>
                <w:szCs w:val="32"/>
              </w:rPr>
              <w:t>表3-1</w:t>
            </w:r>
            <w:r>
              <w:rPr>
                <w:rFonts w:hint="eastAsia" w:ascii="黑体" w:hAnsi="黑体" w:eastAsia="黑体"/>
                <w:bCs/>
                <w:color w:val="auto"/>
                <w:sz w:val="24"/>
                <w:szCs w:val="32"/>
                <w:lang w:val="en-US" w:eastAsia="zh-CN"/>
              </w:rPr>
              <w:t>7</w:t>
            </w:r>
            <w:r>
              <w:rPr>
                <w:rFonts w:hint="eastAsia" w:ascii="黑体" w:hAnsi="黑体" w:eastAsia="黑体"/>
                <w:bCs/>
                <w:color w:val="auto"/>
                <w:sz w:val="24"/>
                <w:szCs w:val="32"/>
              </w:rPr>
              <w:t xml:space="preserve">  《火葬场大气污染物排放标准》（GB13801-2015）表2新建单位遗体火化大气污染物排放限值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682"/>
              <w:gridCol w:w="184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序号</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控制项目</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排放限值</w:t>
                  </w:r>
                </w:p>
              </w:tc>
              <w:tc>
                <w:tcPr>
                  <w:tcW w:w="138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vertAlign w:val="superscript"/>
                    </w:rPr>
                  </w:pPr>
                  <w:r>
                    <w:rPr>
                      <w:rFonts w:hint="eastAsia"/>
                      <w:color w:val="auto"/>
                      <w:szCs w:val="21"/>
                    </w:rPr>
                    <w:t>烟尘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30</w:t>
                  </w:r>
                </w:p>
              </w:tc>
              <w:tc>
                <w:tcPr>
                  <w:tcW w:w="1381"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二氧化硫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氮氧化物（以NO</w:t>
                  </w:r>
                  <w:r>
                    <w:rPr>
                      <w:rFonts w:hint="eastAsia"/>
                      <w:color w:val="auto"/>
                      <w:szCs w:val="21"/>
                      <w:vertAlign w:val="subscript"/>
                    </w:rPr>
                    <w:t>2</w:t>
                  </w:r>
                  <w:r>
                    <w:rPr>
                      <w:rFonts w:hint="eastAsia"/>
                      <w:color w:val="auto"/>
                      <w:szCs w:val="21"/>
                    </w:rPr>
                    <w:t>计）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200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一氧化碳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150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氯化氢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汞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二噁英类（ng-TEQ/m</w:t>
                  </w:r>
                  <w:r>
                    <w:rPr>
                      <w:rFonts w:hint="eastAsia"/>
                      <w:color w:val="auto"/>
                      <w:szCs w:val="21"/>
                      <w:vertAlign w:val="superscript"/>
                    </w:rPr>
                    <w:t>3</w:t>
                  </w:r>
                  <w:r>
                    <w:rPr>
                      <w:rFonts w:hint="eastAsia"/>
                      <w:color w:val="auto"/>
                      <w:szCs w:val="21"/>
                    </w:rPr>
                    <w:t>）</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8</w:t>
                  </w:r>
                </w:p>
              </w:tc>
              <w:tc>
                <w:tcPr>
                  <w:tcW w:w="213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烟气黑度（林格曼黑度，级）</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138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烟囱排放口</w:t>
                  </w:r>
                </w:p>
              </w:tc>
            </w:tr>
          </w:tbl>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szCs w:val="32"/>
              </w:rPr>
            </w:pPr>
            <w:r>
              <w:rPr>
                <w:rFonts w:hint="eastAsia" w:ascii="黑体" w:hAnsi="黑体" w:eastAsia="黑体"/>
                <w:bCs/>
                <w:color w:val="auto"/>
                <w:sz w:val="24"/>
                <w:szCs w:val="32"/>
              </w:rPr>
              <w:t>表3-1</w:t>
            </w:r>
            <w:r>
              <w:rPr>
                <w:rFonts w:hint="eastAsia" w:ascii="黑体" w:hAnsi="黑体" w:eastAsia="黑体"/>
                <w:bCs/>
                <w:color w:val="auto"/>
                <w:sz w:val="24"/>
                <w:szCs w:val="32"/>
                <w:lang w:val="en-US" w:eastAsia="zh-CN"/>
              </w:rPr>
              <w:t>8</w:t>
            </w:r>
            <w:r>
              <w:rPr>
                <w:rFonts w:hint="eastAsia" w:ascii="黑体" w:hAnsi="黑体" w:eastAsia="黑体"/>
                <w:bCs/>
                <w:color w:val="auto"/>
                <w:sz w:val="24"/>
                <w:szCs w:val="32"/>
              </w:rPr>
              <w:t xml:space="preserve">  《火葬场大气污染物排放标准》（GB13801-2015）表3遗物祭品焚烧大气污染物排放限值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683"/>
              <w:gridCol w:w="184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序号</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控制项目</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排放限值</w:t>
                  </w:r>
                </w:p>
              </w:tc>
              <w:tc>
                <w:tcPr>
                  <w:tcW w:w="138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vertAlign w:val="superscript"/>
                    </w:rPr>
                  </w:pPr>
                  <w:r>
                    <w:rPr>
                      <w:rFonts w:hint="eastAsia"/>
                      <w:color w:val="auto"/>
                      <w:szCs w:val="21"/>
                    </w:rPr>
                    <w:t>烟尘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80</w:t>
                  </w:r>
                </w:p>
              </w:tc>
              <w:tc>
                <w:tcPr>
                  <w:tcW w:w="1381"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二氧化硫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氮氧化物（以NO</w:t>
                  </w:r>
                  <w:r>
                    <w:rPr>
                      <w:rFonts w:hint="eastAsia"/>
                      <w:color w:val="auto"/>
                      <w:szCs w:val="21"/>
                      <w:vertAlign w:val="subscript"/>
                    </w:rPr>
                    <w:t>2</w:t>
                  </w:r>
                  <w:r>
                    <w:rPr>
                      <w:rFonts w:hint="eastAsia"/>
                      <w:color w:val="auto"/>
                      <w:szCs w:val="21"/>
                    </w:rPr>
                    <w:t>计）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3</w:t>
                  </w:r>
                  <w:r>
                    <w:rPr>
                      <w:rFonts w:hint="eastAsia"/>
                      <w:color w:val="auto"/>
                      <w:szCs w:val="21"/>
                    </w:rPr>
                    <w:t>00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一氧化碳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200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氯化氢 mg/m</w:t>
                  </w:r>
                  <w:r>
                    <w:rPr>
                      <w:rFonts w:hint="eastAsia"/>
                      <w:color w:val="auto"/>
                      <w:szCs w:val="21"/>
                      <w:vertAlign w:val="superscript"/>
                    </w:rPr>
                    <w:t>3</w:t>
                  </w:r>
                </w:p>
              </w:tc>
              <w:tc>
                <w:tcPr>
                  <w:tcW w:w="106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二噁英类（ng-TEQ/m</w:t>
                  </w:r>
                  <w:r>
                    <w:rPr>
                      <w:rFonts w:hint="eastAsia"/>
                      <w:color w:val="auto"/>
                      <w:szCs w:val="21"/>
                      <w:vertAlign w:val="superscript"/>
                    </w:rPr>
                    <w:t>3</w:t>
                  </w:r>
                  <w:r>
                    <w:rPr>
                      <w:rFonts w:hint="eastAsia"/>
                      <w:color w:val="auto"/>
                      <w:szCs w:val="21"/>
                    </w:rPr>
                    <w:t>）</w:t>
                  </w:r>
                </w:p>
              </w:tc>
              <w:tc>
                <w:tcPr>
                  <w:tcW w:w="106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c>
                <w:tcPr>
                  <w:tcW w:w="138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w:t>
                  </w:r>
                </w:p>
              </w:tc>
              <w:tc>
                <w:tcPr>
                  <w:tcW w:w="213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烟气黑度（林格曼黑度，级）</w:t>
                  </w:r>
                </w:p>
              </w:tc>
              <w:tc>
                <w:tcPr>
                  <w:tcW w:w="106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138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烟囱排放口</w:t>
                  </w:r>
                </w:p>
              </w:tc>
            </w:tr>
          </w:tbl>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szCs w:val="32"/>
              </w:rPr>
            </w:pPr>
            <w:r>
              <w:rPr>
                <w:rFonts w:hint="eastAsia" w:ascii="黑体" w:hAnsi="黑体" w:eastAsia="黑体"/>
                <w:bCs/>
                <w:color w:val="auto"/>
                <w:sz w:val="24"/>
                <w:szCs w:val="32"/>
              </w:rPr>
              <w:t>表3-1</w:t>
            </w:r>
            <w:r>
              <w:rPr>
                <w:rFonts w:hint="eastAsia" w:ascii="黑体" w:hAnsi="黑体" w:eastAsia="黑体"/>
                <w:bCs/>
                <w:color w:val="auto"/>
                <w:sz w:val="24"/>
                <w:szCs w:val="32"/>
                <w:lang w:val="en-US" w:eastAsia="zh-CN"/>
              </w:rPr>
              <w:t>9</w:t>
            </w:r>
            <w:r>
              <w:rPr>
                <w:rFonts w:hint="eastAsia" w:ascii="黑体" w:hAnsi="黑体" w:eastAsia="黑体"/>
                <w:bCs/>
                <w:color w:val="auto"/>
                <w:sz w:val="24"/>
                <w:szCs w:val="32"/>
              </w:rPr>
              <w:t xml:space="preserve">  《恶臭污染物排放标准》（GB14554-93）恶臭污染物厂界标准值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388"/>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序号</w:t>
                  </w:r>
                </w:p>
              </w:tc>
              <w:tc>
                <w:tcPr>
                  <w:tcW w:w="196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控制项目</w:t>
                  </w:r>
                </w:p>
              </w:tc>
              <w:tc>
                <w:tcPr>
                  <w:tcW w:w="246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新扩改建二级厂界标准值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196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臭气浓度（无量纲）</w:t>
                  </w:r>
                </w:p>
              </w:tc>
              <w:tc>
                <w:tcPr>
                  <w:tcW w:w="246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20</w:t>
                  </w:r>
                </w:p>
              </w:tc>
            </w:tr>
          </w:tbl>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2、水污染物排放标准</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本项目产生的废水经污水处理站处理后夏季可用于道路浇洒及绿化浇灌，冬季定期由罐车统一抽送至五台县生活污水处理厂。本项目污水处理站出水参照执行《城市污水再生利用 城市杂用水水质》（GB/T18920-2020）中城市绿化用水水质标准，具体标准值见下表。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szCs w:val="32"/>
              </w:rPr>
            </w:pPr>
            <w:r>
              <w:rPr>
                <w:rFonts w:hint="eastAsia" w:ascii="黑体" w:hAnsi="黑体" w:eastAsia="黑体"/>
                <w:bCs/>
                <w:color w:val="auto"/>
                <w:sz w:val="24"/>
                <w:szCs w:val="32"/>
              </w:rPr>
              <w:t>表3-</w:t>
            </w:r>
            <w:r>
              <w:rPr>
                <w:rFonts w:hint="eastAsia" w:ascii="黑体" w:hAnsi="黑体" w:eastAsia="黑体"/>
                <w:bCs/>
                <w:color w:val="auto"/>
                <w:sz w:val="24"/>
                <w:szCs w:val="32"/>
                <w:lang w:val="en-US" w:eastAsia="zh-CN"/>
              </w:rPr>
              <w:t>20</w:t>
            </w:r>
            <w:r>
              <w:rPr>
                <w:rFonts w:hint="eastAsia" w:ascii="黑体" w:hAnsi="黑体" w:eastAsia="黑体"/>
                <w:bCs/>
                <w:color w:val="auto"/>
                <w:sz w:val="24"/>
                <w:szCs w:val="32"/>
              </w:rPr>
              <w:t xml:space="preserve"> 《城市污水再生利用 城市杂用水水质》中城市绿化用水水质标准</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2"/>
              <w:gridCol w:w="4785"/>
              <w:gridCol w:w="28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序号</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基本控制项目</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pH</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vertAlign w:val="superscript"/>
                    </w:rPr>
                  </w:pPr>
                  <w:r>
                    <w:rPr>
                      <w:rFonts w:hint="eastAsia"/>
                      <w:color w:val="auto"/>
                      <w:szCs w:val="21"/>
                    </w:rPr>
                    <w:t>色度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嗅</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无不快感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浊度/NTU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溶解性总固体/ 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生化需氧量（BOD</w:t>
                  </w:r>
                  <w:r>
                    <w:rPr>
                      <w:rFonts w:hint="eastAsia"/>
                      <w:color w:val="auto"/>
                      <w:szCs w:val="21"/>
                      <w:vertAlign w:val="subscript"/>
                    </w:rPr>
                    <w:t>5</w:t>
                  </w:r>
                  <w:r>
                    <w:rPr>
                      <w:rFonts w:hint="eastAsia"/>
                      <w:color w:val="auto"/>
                      <w:szCs w:val="21"/>
                    </w:rPr>
                    <w:t>） 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氨氮mg/L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8</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阴离子表面活性剂 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9</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溶解氧mg/L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总余氯 mg/L ≥</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11</w:t>
                  </w:r>
                </w:p>
              </w:tc>
              <w:tc>
                <w:tcPr>
                  <w:tcW w:w="278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大肠埃希氏菌MPN/100mL</w:t>
                  </w:r>
                </w:p>
              </w:tc>
              <w:tc>
                <w:tcPr>
                  <w:tcW w:w="164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无</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3、噪声排放标准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施工期厂界噪声执行《建筑施工厂界环境噪声排放标准》（GB12523-2011）排放限值要求；项目运营期执行《工业企业厂界环境噪声排放标准》（GB12348-2008）2类标准。</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r>
              <w:rPr>
                <w:rFonts w:hint="eastAsia" w:ascii="黑体" w:hAnsi="黑体" w:eastAsia="黑体"/>
                <w:color w:val="auto"/>
                <w:sz w:val="24"/>
              </w:rPr>
              <w:t>表3-2</w:t>
            </w:r>
            <w:r>
              <w:rPr>
                <w:rFonts w:hint="eastAsia" w:ascii="黑体" w:hAnsi="黑体" w:eastAsia="黑体"/>
                <w:color w:val="auto"/>
                <w:sz w:val="24"/>
                <w:lang w:val="en-US" w:eastAsia="zh-CN"/>
              </w:rPr>
              <w:t>1</w:t>
            </w:r>
            <w:r>
              <w:rPr>
                <w:rFonts w:hint="eastAsia" w:ascii="黑体" w:hAnsi="黑体" w:eastAsia="黑体"/>
                <w:color w:val="auto"/>
                <w:sz w:val="24"/>
              </w:rPr>
              <w:t xml:space="preserve">  建筑施工厂界噪声限值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昼间</w:t>
                  </w:r>
                </w:p>
              </w:tc>
              <w:tc>
                <w:tcPr>
                  <w:tcW w:w="2526"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70</w:t>
                  </w:r>
                </w:p>
              </w:tc>
              <w:tc>
                <w:tcPr>
                  <w:tcW w:w="2526"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55</w:t>
                  </w:r>
                </w:p>
              </w:tc>
            </w:tr>
          </w:tbl>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r>
              <w:rPr>
                <w:rFonts w:hint="eastAsia" w:ascii="黑体" w:hAnsi="黑体" w:eastAsia="黑体"/>
                <w:color w:val="auto"/>
                <w:sz w:val="24"/>
              </w:rPr>
              <w:t>表3-2</w:t>
            </w:r>
            <w:r>
              <w:rPr>
                <w:rFonts w:hint="eastAsia" w:ascii="黑体" w:hAnsi="黑体" w:eastAsia="黑体"/>
                <w:color w:val="auto"/>
                <w:sz w:val="24"/>
                <w:lang w:val="en-US" w:eastAsia="zh-CN"/>
              </w:rPr>
              <w:t>2</w:t>
            </w:r>
            <w:r>
              <w:rPr>
                <w:rFonts w:hint="eastAsia" w:ascii="黑体" w:hAnsi="黑体" w:eastAsia="黑体"/>
                <w:color w:val="auto"/>
                <w:sz w:val="24"/>
              </w:rPr>
              <w:t xml:space="preserve">  工业企业厂界环境噪声排放限值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厂界外声环境功能区类别</w:t>
                  </w:r>
                </w:p>
              </w:tc>
              <w:tc>
                <w:tcPr>
                  <w:tcW w:w="3334" w:type="pct"/>
                  <w:gridSpan w:val="2"/>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p>
              </w:tc>
              <w:tc>
                <w:tcPr>
                  <w:tcW w:w="1667"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昼间</w:t>
                  </w:r>
                </w:p>
              </w:tc>
              <w:tc>
                <w:tcPr>
                  <w:tcW w:w="1667"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2</w:t>
                  </w:r>
                </w:p>
              </w:tc>
              <w:tc>
                <w:tcPr>
                  <w:tcW w:w="1667"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60</w:t>
                  </w:r>
                </w:p>
              </w:tc>
              <w:tc>
                <w:tcPr>
                  <w:tcW w:w="1667" w:type="pct"/>
                  <w:vAlign w:val="center"/>
                </w:tcPr>
                <w:p>
                  <w:pPr>
                    <w:pStyle w:val="55"/>
                    <w:keepNext w:val="0"/>
                    <w:keepLines w:val="0"/>
                    <w:widowControl/>
                    <w:suppressLineNumbers w:val="0"/>
                    <w:spacing w:before="0" w:beforeAutospacing="0" w:after="0" w:afterAutospacing="0"/>
                    <w:ind w:left="0" w:right="0"/>
                    <w:rPr>
                      <w:rFonts w:hint="eastAsia"/>
                      <w:color w:val="auto"/>
                      <w:sz w:val="21"/>
                      <w:szCs w:val="21"/>
                    </w:rPr>
                  </w:pPr>
                  <w:r>
                    <w:rPr>
                      <w:rFonts w:hint="eastAsia"/>
                      <w:color w:val="auto"/>
                      <w:sz w:val="21"/>
                      <w:szCs w:val="21"/>
                    </w:rPr>
                    <w:t>50</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4、固体废物标准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一般固体废物执行贮存执行《一般工业固体废物贮存和填埋污染控制标准》(GB 18599-2020)，危险废物暂存参照执行《危险废物贮存污染控制标准》（GB18597-2001）及其2013年修改单。</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p>
          <w:p>
            <w:pPr>
              <w:keepNext w:val="0"/>
              <w:keepLines w:val="0"/>
              <w:suppressLineNumbers w:val="0"/>
              <w:adjustRightInd w:val="0"/>
              <w:snapToGrid w:val="0"/>
              <w:spacing w:before="0" w:beforeAutospacing="0" w:after="0" w:afterAutospacing="0" w:line="480" w:lineRule="exact"/>
              <w:ind w:left="0" w:right="0" w:firstLine="420" w:firstLineChars="200"/>
              <w:rPr>
                <w:rFonts w:hint="eastAsia"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指标</w:t>
            </w:r>
          </w:p>
        </w:tc>
        <w:tc>
          <w:tcPr>
            <w:tcW w:w="4759" w:type="pct"/>
            <w:vAlign w:val="center"/>
          </w:tcPr>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晋环发【2015】25号《山西省环境保护厅关于印发&lt;建设项目主要污染物排放总量核定办法&gt;的通知》，实施主要污染物排放总量核定的建设项目包括：《国民经济行业分类》（GB/T4754-2017）中采矿业、制造业、电力、燃气及水的生产和供应业，3个门类39个行业的企业。其他行业建设项目暂不需要核定主要污染物排放总量。</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w:t>
            </w:r>
            <w:r>
              <w:rPr>
                <w:rFonts w:hint="eastAsia"/>
                <w:color w:val="auto"/>
                <w:sz w:val="24"/>
              </w:rPr>
              <w:t>《国民经济行业分类》（GB/T4754-2017），</w:t>
            </w:r>
            <w:r>
              <w:rPr>
                <w:rFonts w:hint="eastAsia"/>
                <w:bCs/>
                <w:color w:val="auto"/>
                <w:sz w:val="24"/>
              </w:rPr>
              <w:t>本项目属于Q居民服务、修理和其他服务业中的8080殡葬服务业，因此本项目不需要核定主要污染物排放总量。</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宋体" w:hAnsi="宋体" w:cs="宋体"/>
                <w:color w:val="auto"/>
                <w:kern w:val="0"/>
                <w:szCs w:val="21"/>
              </w:rPr>
            </w:pPr>
            <w:r>
              <w:rPr>
                <w:rFonts w:hint="eastAsia"/>
                <w:bCs/>
                <w:color w:val="auto"/>
                <w:sz w:val="24"/>
              </w:rPr>
              <w:t>本项目颗粒物排放量为0.489t/a，二氧化硫排放量为0.659t/a，氮氧化物排放量为3.084t/a。</w:t>
            </w:r>
          </w:p>
        </w:tc>
      </w:tr>
    </w:tbl>
    <w:p>
      <w:pPr>
        <w:pStyle w:val="16"/>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8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tcMar>
              <w:left w:w="28" w:type="dxa"/>
              <w:right w:w="28" w:type="dxa"/>
            </w:tcMar>
            <w:vAlign w:val="center"/>
          </w:tcPr>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施工</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期环</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境保</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护措</w:t>
            </w:r>
          </w:p>
          <w:p>
            <w:pPr>
              <w:pStyle w:val="16"/>
              <w:keepNext w:val="0"/>
              <w:keepLines w:val="0"/>
              <w:suppressLineNumbers w:val="0"/>
              <w:adjustRightInd w:val="0"/>
              <w:snapToGrid w:val="0"/>
              <w:spacing w:before="0" w:beforeAutospacing="0" w:after="0" w:afterAutospacing="0"/>
              <w:ind w:left="0" w:right="0"/>
              <w:jc w:val="center"/>
              <w:rPr>
                <w:rFonts w:hint="eastAsia" w:cs="宋体"/>
                <w:bCs/>
                <w:color w:val="auto"/>
                <w:kern w:val="2"/>
                <w:sz w:val="21"/>
                <w:szCs w:val="21"/>
              </w:rPr>
            </w:pPr>
            <w:r>
              <w:rPr>
                <w:rFonts w:hint="eastAsia" w:cs="宋体"/>
                <w:color w:val="auto"/>
                <w:kern w:val="2"/>
                <w:sz w:val="21"/>
                <w:szCs w:val="21"/>
              </w:rPr>
              <w:t>施</w:t>
            </w:r>
          </w:p>
        </w:tc>
        <w:tc>
          <w:tcPr>
            <w:tcW w:w="4764" w:type="pct"/>
            <w:vAlign w:val="center"/>
          </w:tcPr>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hAnsi="宋体"/>
                <w:color w:val="auto"/>
                <w:sz w:val="24"/>
                <w:szCs w:val="32"/>
              </w:rPr>
              <w:t>根据现场勘查，本项目尚未开工建设。项目施工阶段会对周围环境产生一定程度的不利影响，但是在施工结束后，这种影响也将随之消失，且本项目施工期较短，故这一阶段对环境的影响较小，为短期、可逆的影响。</w:t>
            </w:r>
            <w:r>
              <w:rPr>
                <w:rFonts w:hint="eastAsia"/>
                <w:color w:val="auto"/>
                <w:sz w:val="24"/>
                <w:szCs w:val="32"/>
              </w:rPr>
              <w:t>各污染要素的环境影响简要分析如下：</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1、施工期大气环境影响分析及防治措施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本项目施工期间主要环境问题产生于施工过程中的土建施工、建筑材料的运输、堆存等过程中，产生的污染物主要有施工扬尘、噪声、生活废水和固体废物等。</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（1）施工大气污染源分析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期间对环境空气影响最大的是施工扬尘，来源于各种无组织排放源。其中场地清理、土方挖掘、土方堆存、物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rFonts w:hint="eastAsia"/>
                <w:color w:val="auto"/>
                <w:sz w:val="24"/>
                <w:szCs w:val="32"/>
                <w:vertAlign w:val="superscript"/>
              </w:rPr>
              <w:t>3</w:t>
            </w:r>
            <w:r>
              <w:rPr>
                <w:rFonts w:hint="eastAsia"/>
                <w:color w:val="auto"/>
                <w:sz w:val="24"/>
                <w:szCs w:val="32"/>
              </w:rPr>
              <w:t>。同时各类燃油动力机械在设备运输等施工作业时，会排出各类燃油废气，排放的主要污染物为CO、NO</w:t>
            </w:r>
            <w:r>
              <w:rPr>
                <w:rFonts w:hint="eastAsia"/>
                <w:color w:val="auto"/>
                <w:sz w:val="24"/>
                <w:szCs w:val="32"/>
                <w:vertAlign w:val="subscript"/>
              </w:rPr>
              <w:t>X</w:t>
            </w:r>
            <w:r>
              <w:rPr>
                <w:rFonts w:hint="eastAsia"/>
                <w:color w:val="auto"/>
                <w:sz w:val="24"/>
                <w:szCs w:val="32"/>
              </w:rPr>
              <w:t>、SO</w:t>
            </w:r>
            <w:r>
              <w:rPr>
                <w:rFonts w:hint="eastAsia"/>
                <w:color w:val="auto"/>
                <w:sz w:val="24"/>
                <w:szCs w:val="32"/>
                <w:vertAlign w:val="subscript"/>
              </w:rPr>
              <w:t>2</w:t>
            </w:r>
            <w:r>
              <w:rPr>
                <w:rFonts w:hint="eastAsia"/>
                <w:color w:val="auto"/>
                <w:sz w:val="24"/>
                <w:szCs w:val="32"/>
              </w:rPr>
              <w:t>、烟尘。</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szCs w:val="32"/>
              </w:rPr>
            </w:pPr>
            <w:r>
              <w:rPr>
                <w:rFonts w:hint="eastAsia"/>
                <w:b/>
                <w:bCs/>
                <w:color w:val="auto"/>
                <w:sz w:val="24"/>
                <w:szCs w:val="32"/>
              </w:rPr>
              <w:t>（2）施工期大气污染防治措施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据环评现场踏勘，该项目未开始建设。根据“6个100%”的具体要求，本次评价对施工期大气污染防治提如下措施：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①施工单位应当合理安排工期，在风速达四级及以上的天气情况下，应当停止易产生扬尘污染的施工作业，并采取相应的防尘措施。施工现场堆放的土石方及易产生扬尘污染的灰土、灰浆等物料应以不透水的隔尘布完全覆盖或放置在顶部且四周均密封、遮蔽的设施内。同时在工地建筑结构脚手架外侧设置有效抑尘的密目防尘网。</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②施工现场裸露地面应采取覆盖或临时绿化措施；施工场所要定期喷洒水，保持地面湿润，不起尘。</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③施工工地出入口处必须建设车辆出入口喷淋、冲洗设施，并设置统一格式的环境保护监督牌，标明扬尘防治措施、责任人及环保监督电话等。</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④严禁抛洒建筑垃圾；建筑垃圾应及时清运至环卫部门指定场所，不能及时清运的要定点密闭堆存，并采取防尘措施。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⑤为减少运输扬尘造成的二次污染，评价要求进出工地的物料、渣土、垃圾运输车辆，装载的物料、垃圾、渣土高度不得超过车辆槽帮上沿，车斗用苫布遮盖或者采用密闭车斗。若车斗用苫布遮盖，应当严实密闭，苫布边缘至少要遮住槽帮上沿以下15公分，保证物料、渣土、垃圾等不露出。车辆应当按照批准的路线和时间进行物料、渣土、垃圾的运输，同时设置一台洒水车进行道路洒水抑尘。</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⑥车辆运输过程中产生的汽车尾气，一般仅局限于施工区域以及施工通道，对施工区域以外的环境空气影响比较小。评价要求施工单位选用符合国家有关卫生标准的施工机械和运输工具，使其排放的废气符合国家有关标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评价要求施工工地必须严格按照项目环境影响评价确定的施工全过程污染防治实施方案要求，组织落实各项污染防治措施，确保建筑工地扬尘污染控制达标，综上所述，按照以上措施进行防治后对施工场地周围环境空气影响较小。</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2、施工期水环境影响分析及防治措施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施工期产生的废水主要为生活废水、食堂废水，以及机械冲洗废水。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人员生活排水所含污染物主要为COD、BOD及SS等，但产生量较少。施工人员生活污水为盥洗废水，水质简单，可在厂区泼洒抑尘。施工人员食堂的餐饮污水要设置隔油、隔渣池，合格的隔油、隔渣池能去除大部分浮油和较大的悬浮物，减少了动植物油污染物的排放量。餐饮污水经隔油、隔渣池处理后与上述生活污水一同泼洒抑尘。</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机械定点冲洗，并在冲洗场地内设置集水沟和简易有效的除油池，将机技冲洗等含油废水进行收集、除油处理达标后排放。凡在施工场地进行搅拌作业的，在扭拌机前台及运输车清洗处设置沉淀池。排放的废水排入沉淀池内，经沉淀处理后进行回收利用、用于洒水降尘。</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3、施工期固体废弃物影响分析及防治措施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施工阶段产生的固体废物主要为建筑垃圾、生活垃圾。</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期间产生的建筑垃圾主要包括灰碴、砂、石、废砖等应首先考虑回收利用，不能回收利用的，按照当地主管部门的要求送至指定地点集中处置，严禁乱堆乱放；垃圾等运输过程中，车辆要装载均衡，货物不得超出车厢体，要采取密闭措施，不得撒漏。</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施工人员生活垃圾主要为生活中遗弃的废弃物，施工高峰期人员约50人，按0.5kg/人•d计，则生活垃圾产生量约25kg/d。在施工区域内设临时集中收集点，运至</w:t>
            </w:r>
            <w:r>
              <w:rPr>
                <w:rFonts w:hint="eastAsia"/>
                <w:color w:val="auto"/>
                <w:sz w:val="24"/>
                <w:szCs w:val="32"/>
                <w:lang w:val="en-US" w:eastAsia="zh-CN"/>
              </w:rPr>
              <w:t>市政</w:t>
            </w:r>
            <w:r>
              <w:rPr>
                <w:rFonts w:hint="eastAsia"/>
                <w:color w:val="auto"/>
                <w:sz w:val="24"/>
                <w:szCs w:val="32"/>
              </w:rPr>
              <w:t>环卫部门指定的地点。</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4、施工期声环境影晌分析及防治措施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bCs/>
                <w:color w:val="auto"/>
                <w:sz w:val="24"/>
                <w:szCs w:val="32"/>
              </w:rPr>
              <w:t>施工噪声主要来源于施工机械设备产生的噪声，如装载机、吊车、载重汽车、电钻等，</w:t>
            </w:r>
            <w:r>
              <w:rPr>
                <w:rFonts w:hint="eastAsia"/>
                <w:color w:val="auto"/>
                <w:sz w:val="24"/>
                <w:szCs w:val="32"/>
              </w:rPr>
              <w:t>噪声值为70-110dB（A）。</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本项目施工期不同阶段噪声源及声压等级见下表。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color w:val="auto"/>
                <w:sz w:val="24"/>
                <w:szCs w:val="32"/>
              </w:rPr>
            </w:pPr>
            <w:r>
              <w:rPr>
                <w:rFonts w:hint="eastAsia" w:ascii="黑体" w:hAnsi="黑体" w:eastAsia="黑体"/>
                <w:color w:val="auto"/>
                <w:sz w:val="24"/>
                <w:szCs w:val="32"/>
              </w:rPr>
              <w:t>表4-1  施工期主要噪声源及声压等级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355"/>
              <w:gridCol w:w="224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施工阶段</w:t>
                  </w:r>
                </w:p>
              </w:tc>
              <w:tc>
                <w:tcPr>
                  <w:tcW w:w="1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主要噪声源</w:t>
                  </w:r>
                </w:p>
              </w:tc>
              <w:tc>
                <w:tcPr>
                  <w:tcW w:w="131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噪声级[dB(A)]</w:t>
                  </w:r>
                </w:p>
              </w:tc>
              <w:tc>
                <w:tcPr>
                  <w:tcW w:w="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基础阶段</w:t>
                  </w:r>
                </w:p>
              </w:tc>
              <w:tc>
                <w:tcPr>
                  <w:tcW w:w="1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装载机等</w:t>
                  </w:r>
                </w:p>
              </w:tc>
              <w:tc>
                <w:tcPr>
                  <w:tcW w:w="131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110</w:t>
                  </w:r>
                </w:p>
              </w:tc>
              <w:tc>
                <w:tcPr>
                  <w:tcW w:w="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结构阶段</w:t>
                  </w:r>
                </w:p>
              </w:tc>
              <w:tc>
                <w:tcPr>
                  <w:tcW w:w="1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吊车、载重汽车等</w:t>
                  </w:r>
                </w:p>
              </w:tc>
              <w:tc>
                <w:tcPr>
                  <w:tcW w:w="131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95~110</w:t>
                  </w:r>
                </w:p>
              </w:tc>
              <w:tc>
                <w:tcPr>
                  <w:tcW w:w="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距声源1.0m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6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安装阶段</w:t>
                  </w:r>
                </w:p>
              </w:tc>
              <w:tc>
                <w:tcPr>
                  <w:tcW w:w="1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无长时间操作的主要噪声源</w:t>
                  </w:r>
                </w:p>
              </w:tc>
              <w:tc>
                <w:tcPr>
                  <w:tcW w:w="1312"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85~90</w:t>
                  </w:r>
                </w:p>
              </w:tc>
              <w:tc>
                <w:tcPr>
                  <w:tcW w:w="96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距声源1.5m</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评价要求采取以下措施减轻噪声影响：</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①企业在施工过程要合理安排施工时间，所有产噪设备施工时间应尽量安排在日间，严格控制夜间施工，在22时至次日6时不得施工，高噪声设备禁止夜间施工；</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②由于工艺或工程进度要求需在夜间施工时，需事先征得</w:t>
            </w:r>
            <w:r>
              <w:rPr>
                <w:rFonts w:hint="eastAsia"/>
                <w:color w:val="auto"/>
                <w:sz w:val="24"/>
                <w:szCs w:val="32"/>
                <w:lang w:val="en-US" w:eastAsia="zh-CN"/>
              </w:rPr>
              <w:t>相关</w:t>
            </w:r>
            <w:r>
              <w:rPr>
                <w:rFonts w:hint="eastAsia"/>
                <w:color w:val="auto"/>
                <w:sz w:val="24"/>
                <w:szCs w:val="32"/>
              </w:rPr>
              <w:t>部门的同意，并树立公告牌向周边居民说明情况；</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③采用低噪声设备，对动力机械设备进行定期维修、养护，避免因设备松动部件的震动或消声器破坏而加大其工作时的声级；</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④在模板、支架的拆卸过程中应遵守作业规定，减少碰撞噪声；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⑤合理布局，避免在同一地点安排大量动力机械设备，以避免局部声级过高；</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szCs w:val="32"/>
              </w:rPr>
            </w:pPr>
            <w:r>
              <w:rPr>
                <w:rFonts w:hint="eastAsia"/>
                <w:color w:val="auto"/>
                <w:sz w:val="24"/>
                <w:szCs w:val="32"/>
              </w:rPr>
              <w:t>⑥为避免设备噪声对施工人员造成影响，评价建议项目施工时要合理安排工作人员，轮流操作机械，减少工人接触高噪音时间；对声源附近工作时间较长的工人，应采取分发防护耳塞保护措施，使工人自身防护得到保障。</w:t>
            </w:r>
          </w:p>
          <w:p>
            <w:pPr>
              <w:keepNext w:val="0"/>
              <w:keepLines w:val="0"/>
              <w:suppressLineNumbers w:val="0"/>
              <w:adjustRightInd w:val="0"/>
              <w:snapToGrid w:val="0"/>
              <w:spacing w:before="0" w:beforeAutospacing="0" w:after="0" w:afterAutospacing="0" w:line="480" w:lineRule="exact"/>
              <w:ind w:left="0" w:right="0" w:firstLine="380" w:firstLineChars="200"/>
              <w:rPr>
                <w:rFonts w:hint="eastAsia" w:ascii="宋体" w:hAnsi="宋体" w:cs="宋体"/>
                <w:bCs/>
                <w:color w:val="auto"/>
                <w:spacing w:val="-10"/>
                <w:szCs w:val="21"/>
              </w:rPr>
            </w:pPr>
          </w:p>
          <w:p>
            <w:pPr>
              <w:keepNext w:val="0"/>
              <w:keepLines w:val="0"/>
              <w:suppressLineNumbers w:val="0"/>
              <w:adjustRightInd w:val="0"/>
              <w:snapToGrid w:val="0"/>
              <w:spacing w:before="0" w:beforeAutospacing="0" w:after="0" w:afterAutospacing="0" w:line="480" w:lineRule="exact"/>
              <w:ind w:left="0" w:right="0" w:firstLine="380" w:firstLineChars="200"/>
              <w:rPr>
                <w:rFonts w:hint="eastAsia" w:ascii="宋体" w:hAnsi="宋体" w:cs="宋体"/>
                <w:bCs/>
                <w:color w:val="auto"/>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36"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措施</w:t>
            </w:r>
          </w:p>
        </w:tc>
        <w:tc>
          <w:tcPr>
            <w:tcW w:w="4764" w:type="pct"/>
            <w:vAlign w:val="center"/>
          </w:tcPr>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1、运营期大气污染源强及污染防治措施</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rPr>
              <w:t>1</w:t>
            </w:r>
            <w:r>
              <w:rPr>
                <w:rFonts w:hint="eastAsia"/>
                <w:b/>
                <w:bCs/>
                <w:color w:val="auto"/>
                <w:sz w:val="24"/>
              </w:rPr>
              <w:t>：遗体火化废气</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火化间共配备3台节能环保燃油火化机，所用燃料为0#-30#轻柴油，每具遗体平均火化时间45分钟左右，年最大服务能力为火化2190具遗体；每具遗体火化耗油量40升/具（柴油密度以0.84计算）计，则火化年使用轻柴油73.6t/a。3台节能环保火化机分别单独配置一套废气处理设施+1根12m高排气筒；共3套废气处理设施，3根12m高排气筒。烟气处理设施采用急冷装置+半干法脱硫+活性炭喷射+布袋除尘器+活性炭吸附组合方案。本项目火化炉间歇运行，每台火化炉</w:t>
            </w:r>
            <w:r>
              <w:rPr>
                <w:rFonts w:hint="eastAsia"/>
                <w:bCs/>
                <w:color w:val="auto"/>
                <w:sz w:val="24"/>
                <w:lang w:val="en-US" w:eastAsia="zh-CN"/>
              </w:rPr>
              <w:t>以</w:t>
            </w:r>
            <w:r>
              <w:rPr>
                <w:rFonts w:hint="eastAsia"/>
                <w:bCs/>
                <w:color w:val="auto"/>
                <w:sz w:val="24"/>
              </w:rPr>
              <w:t>每日焚烧两具遗体</w:t>
            </w:r>
            <w:r>
              <w:rPr>
                <w:rFonts w:hint="eastAsia"/>
                <w:bCs/>
                <w:color w:val="auto"/>
                <w:sz w:val="24"/>
                <w:lang w:val="en-US" w:eastAsia="zh-CN"/>
              </w:rPr>
              <w:t>计，每具遗体焚烧时间以45min计，遗体火化的全过程结束后，如果有后续遗体，则开始下一具遗体的火化，如无后续遗体则把炕面送入平移冷却装置进行冷却。</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遗体火化过程中，尸体、火化燃料和衣物在高温给氧条件下快速焚化，产生大气污染物，污染因子主要为烟尘、SO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、CO、HCl、汞、二噁英类等。</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参考《火葬场大气污染物排放标准（征求意见）编制说明》（2011年3月）中表5 2009年遗体火化各污染物排放总量结果以及表8二噁英排放测试结果，具体见下图。该编制说明指出：“目前（2009年），我国殡葬行业大多数火化机以及遗物祭品焚烧设备采用焚烧直排方式排放火化废气，没有安装火化烟气后处理系统，只有极少数如江、浙、粤以及京、津等发达地区省会级火葬场安装了烟气净化系统。”“据调查，我国在用的近5000台套火化机中，以燃油式、下排烟者居多，燃烧控制技术主要采用二次燃烧技术处理遗体，部分中心城市和发达地区火葬场安装了火化烟气净化装置。通过上述可知，我国2009年以前的火化机绝大多数是采用燃油式二级燃烧后直排，其污染排放的平均统计数据基本能代表本项目的污染物的产生情况。</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p>
          <w:p>
            <w:pPr>
              <w:keepNext w:val="0"/>
              <w:keepLines w:val="0"/>
              <w:suppressLineNumbers w:val="0"/>
              <w:spacing w:before="0" w:beforeAutospacing="0" w:after="0" w:afterAutospacing="0"/>
              <w:ind w:left="0" w:right="0"/>
              <w:jc w:val="center"/>
              <w:rPr>
                <w:rFonts w:hint="eastAsia"/>
                <w:color w:val="auto"/>
              </w:rPr>
            </w:pPr>
            <w:r>
              <w:rPr>
                <w:rFonts w:hint="eastAsia"/>
                <w:color w:val="auto"/>
              </w:rPr>
              <w:drawing>
                <wp:inline distT="0" distB="0" distL="0" distR="0">
                  <wp:extent cx="5332095" cy="18923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389658" cy="1913346"/>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eastAsia"/>
                <w:bCs/>
                <w:color w:val="auto"/>
                <w:sz w:val="24"/>
              </w:rPr>
            </w:pPr>
            <w:r>
              <w:rPr>
                <w:rFonts w:hint="eastAsia"/>
                <w:color w:val="auto"/>
              </w:rPr>
              <w:drawing>
                <wp:inline distT="0" distB="0" distL="0" distR="0">
                  <wp:extent cx="5222875" cy="28301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44463" cy="2841911"/>
                          </a:xfrm>
                          <a:prstGeom prst="rect">
                            <a:avLst/>
                          </a:prstGeom>
                        </pic:spPr>
                      </pic:pic>
                    </a:graphicData>
                  </a:graphic>
                </wp:inline>
              </w:drawing>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图4-1  火葬场大气污染物排放标准（征求意见）编制说明》表5、8截图</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上图中以单具遗体火化时间为45min计算年排放总量，可推出单具遗体火化时的污染物排放量，其中二噁英排放量以火化机配套引风机风量（6000Nm</w:t>
            </w:r>
            <w:r>
              <w:rPr>
                <w:rFonts w:hint="eastAsia"/>
                <w:bCs/>
                <w:color w:val="auto"/>
                <w:sz w:val="24"/>
                <w:vertAlign w:val="superscript"/>
              </w:rPr>
              <w:t>3</w:t>
            </w:r>
            <w:r>
              <w:rPr>
                <w:rFonts w:hint="eastAsia"/>
                <w:bCs/>
                <w:color w:val="auto"/>
                <w:sz w:val="24"/>
              </w:rPr>
              <w:t>/h，7.5kW）计算单具遗体火化时的污染物排放量；具体结果见下表。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表4-2  单具遗体火化烟气排放情况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031"/>
              <w:gridCol w:w="1031"/>
              <w:gridCol w:w="1073"/>
              <w:gridCol w:w="1019"/>
              <w:gridCol w:w="1258"/>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序号</w:t>
                  </w:r>
                </w:p>
              </w:tc>
              <w:tc>
                <w:tcPr>
                  <w:tcW w:w="60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火化遗体数量（具）</w:t>
                  </w:r>
                </w:p>
              </w:tc>
              <w:tc>
                <w:tcPr>
                  <w:tcW w:w="60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时间（min）</w:t>
                  </w:r>
                </w:p>
              </w:tc>
              <w:tc>
                <w:tcPr>
                  <w:tcW w:w="62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烟气产生量（m³/h）</w:t>
                  </w:r>
                </w:p>
              </w:tc>
              <w:tc>
                <w:tcPr>
                  <w:tcW w:w="59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产生浓度</w:t>
                  </w:r>
                  <w:r>
                    <w:rPr>
                      <w:rFonts w:hint="eastAsia"/>
                      <w:bCs/>
                      <w:color w:val="auto"/>
                      <w:szCs w:val="21"/>
                    </w:rPr>
                    <w:t>（mg/m³）</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产生量（kg/具）</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产生速率</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w:t>
                  </w:r>
                </w:p>
              </w:tc>
              <w:tc>
                <w:tcPr>
                  <w:tcW w:w="603"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603"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45</w:t>
                  </w:r>
                </w:p>
              </w:tc>
              <w:tc>
                <w:tcPr>
                  <w:tcW w:w="628"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6000</w:t>
                  </w: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33.6</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0.113</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2</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7.5</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0.0255</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3</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70.4</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0.2377</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4</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88.9</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0.3</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5</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50</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0.16875</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6</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0.4</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0.00135</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7</w:t>
                  </w: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03"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628" w:type="pct"/>
                  <w:vMerge w:val="continue"/>
                  <w:vAlign w:val="center"/>
                </w:tcPr>
                <w:p>
                  <w:pPr>
                    <w:keepNext w:val="0"/>
                    <w:keepLines w:val="0"/>
                    <w:suppressLineNumbers w:val="0"/>
                    <w:spacing w:before="0" w:beforeAutospacing="0" w:after="0" w:afterAutospacing="0"/>
                    <w:ind w:left="0" w:right="0" w:firstLine="420"/>
                    <w:jc w:val="center"/>
                    <w:rPr>
                      <w:rFonts w:hint="eastAsia"/>
                      <w:color w:val="auto"/>
                      <w:szCs w:val="21"/>
                    </w:rPr>
                  </w:pPr>
                </w:p>
              </w:tc>
              <w:tc>
                <w:tcPr>
                  <w:tcW w:w="5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73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4.1</w:t>
                  </w:r>
                  <w:r>
                    <w:rPr>
                      <w:rFonts w:hint="eastAsia"/>
                      <w:bCs/>
                      <w:color w:val="auto"/>
                      <w:szCs w:val="21"/>
                    </w:rPr>
                    <w:t>ng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TEQ/m</w:t>
                  </w:r>
                  <w:r>
                    <w:rPr>
                      <w:rFonts w:hint="eastAsia"/>
                      <w:bCs/>
                      <w:color w:val="auto"/>
                      <w:szCs w:val="21"/>
                      <w:vertAlign w:val="superscript"/>
                    </w:rPr>
                    <w:t>3</w:t>
                  </w:r>
                </w:p>
              </w:tc>
              <w:tc>
                <w:tcPr>
                  <w:tcW w:w="73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3.075</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n</w:t>
                  </w:r>
                  <w:r>
                    <w:rPr>
                      <w:rFonts w:hint="eastAsia"/>
                      <w:bCs/>
                      <w:color w:val="auto"/>
                      <w:szCs w:val="21"/>
                    </w:rPr>
                    <w:t>gTEQ</w:t>
                  </w:r>
                </w:p>
              </w:tc>
              <w:tc>
                <w:tcPr>
                  <w:tcW w:w="73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24600n</w:t>
                  </w:r>
                  <w:r>
                    <w:rPr>
                      <w:rFonts w:hint="eastAsia"/>
                      <w:bCs/>
                      <w:color w:val="auto"/>
                      <w:szCs w:val="21"/>
                    </w:rPr>
                    <w:t>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w:t>
                  </w:r>
                  <w:r>
                    <w:rPr>
                      <w:rFonts w:hint="eastAsia"/>
                      <w:color w:val="auto"/>
                      <w:szCs w:val="21"/>
                    </w:rPr>
                    <w:t>/h</w:t>
                  </w:r>
                </w:p>
              </w:tc>
            </w:tr>
          </w:tbl>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上述测试结果并未说明遗体火化烟气的治理措施，部分污染物的排放浓度是在治理措施后测得的数据，如烟尘；部分污染物的排放浓度为未设置治理措施测得的数据，如二噁英类。</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参考其他火葬场的烟气治理措施，本项目遗体火化烟气采取源头控制措施（选用节能环保火化机，保证火化机炉膛温度和火化烟气在再燃室中有足够的停留时间以及合理配风，提高烟气的湍流度）+烟气治理措施（急冷装置+半干法脱硫+活性炭喷射+布袋除尘器+活性炭吸附）方式确保达标排放。</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综合以上分析，在采取以上烟气治理措施的条件下，遗体火化烟气中烟尘排放浓度以20mg/m</w:t>
            </w:r>
            <w:r>
              <w:rPr>
                <w:rFonts w:hint="eastAsia"/>
                <w:bCs/>
                <w:color w:val="auto"/>
                <w:sz w:val="24"/>
                <w:vertAlign w:val="superscript"/>
              </w:rPr>
              <w:t>3</w:t>
            </w:r>
            <w:r>
              <w:rPr>
                <w:rFonts w:hint="eastAsia"/>
                <w:bCs/>
                <w:color w:val="auto"/>
                <w:sz w:val="24"/>
              </w:rPr>
              <w:t>计；由于管理水平，设备水平，燃料含硫量，运行工况的不同，SO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、CO的产排情况也不同，本次取SO</w:t>
            </w:r>
            <w:r>
              <w:rPr>
                <w:rFonts w:hint="eastAsia"/>
                <w:bCs/>
                <w:color w:val="auto"/>
                <w:sz w:val="24"/>
                <w:vertAlign w:val="subscript"/>
              </w:rPr>
              <w:t>2</w:t>
            </w:r>
            <w:r>
              <w:rPr>
                <w:rFonts w:hint="eastAsia"/>
                <w:bCs/>
                <w:color w:val="auto"/>
                <w:sz w:val="24"/>
              </w:rPr>
              <w:t>排放浓度15mg/m</w:t>
            </w:r>
            <w:r>
              <w:rPr>
                <w:rFonts w:hint="eastAsia"/>
                <w:bCs/>
                <w:color w:val="auto"/>
                <w:sz w:val="24"/>
                <w:vertAlign w:val="superscript"/>
              </w:rPr>
              <w:t>3</w:t>
            </w:r>
            <w:r>
              <w:rPr>
                <w:rFonts w:hint="eastAsia"/>
                <w:bCs/>
                <w:color w:val="auto"/>
                <w:sz w:val="24"/>
              </w:rPr>
              <w:t>、NO</w:t>
            </w:r>
            <w:r>
              <w:rPr>
                <w:rFonts w:hint="eastAsia"/>
                <w:bCs/>
                <w:color w:val="auto"/>
                <w:sz w:val="24"/>
                <w:vertAlign w:val="subscript"/>
              </w:rPr>
              <w:t>x</w:t>
            </w:r>
            <w:r>
              <w:rPr>
                <w:rFonts w:hint="eastAsia"/>
                <w:bCs/>
                <w:color w:val="auto"/>
                <w:sz w:val="24"/>
              </w:rPr>
              <w:t>排放浓度150mg/m</w:t>
            </w:r>
            <w:r>
              <w:rPr>
                <w:rFonts w:hint="eastAsia"/>
                <w:bCs/>
                <w:color w:val="auto"/>
                <w:sz w:val="24"/>
                <w:vertAlign w:val="superscript"/>
              </w:rPr>
              <w:t>3</w:t>
            </w:r>
            <w:r>
              <w:rPr>
                <w:rFonts w:hint="eastAsia"/>
                <w:bCs/>
                <w:color w:val="auto"/>
                <w:sz w:val="24"/>
              </w:rPr>
              <w:t>、CO排放浓度120mg/m</w:t>
            </w:r>
            <w:r>
              <w:rPr>
                <w:rFonts w:hint="eastAsia"/>
                <w:bCs/>
                <w:color w:val="auto"/>
                <w:sz w:val="24"/>
                <w:vertAlign w:val="superscript"/>
              </w:rPr>
              <w:t>3</w:t>
            </w:r>
            <w:r>
              <w:rPr>
                <w:rFonts w:hint="eastAsia"/>
                <w:bCs/>
                <w:color w:val="auto"/>
                <w:sz w:val="24"/>
              </w:rPr>
              <w:t>作为本项目的排放浓度；在采取以上烟气治理措施的条件下，HCl去除效率取80%，汞去除效率取80%，二噁英类去除效率取90%，则本项目遗体火化烟气中HCl排放浓度为5mg/m</w:t>
            </w:r>
            <w:r>
              <w:rPr>
                <w:rFonts w:hint="eastAsia"/>
                <w:bCs/>
                <w:color w:val="auto"/>
                <w:sz w:val="24"/>
                <w:vertAlign w:val="superscript"/>
              </w:rPr>
              <w:t>3</w:t>
            </w:r>
            <w:r>
              <w:rPr>
                <w:rFonts w:hint="eastAsia"/>
                <w:bCs/>
                <w:color w:val="auto"/>
                <w:sz w:val="24"/>
              </w:rPr>
              <w:t>，汞排放浓度为0.08mg/m</w:t>
            </w:r>
            <w:r>
              <w:rPr>
                <w:rFonts w:hint="eastAsia"/>
                <w:bCs/>
                <w:color w:val="auto"/>
                <w:sz w:val="24"/>
                <w:vertAlign w:val="superscript"/>
              </w:rPr>
              <w:t>3</w:t>
            </w:r>
            <w:r>
              <w:rPr>
                <w:rFonts w:hint="eastAsia"/>
                <w:bCs/>
                <w:color w:val="auto"/>
                <w:sz w:val="24"/>
              </w:rPr>
              <w:t>，二噁英类排放浓度为0.41mg/m</w:t>
            </w:r>
            <w:r>
              <w:rPr>
                <w:rFonts w:hint="eastAsia"/>
                <w:bCs/>
                <w:color w:val="auto"/>
                <w:sz w:val="24"/>
                <w:vertAlign w:val="superscript"/>
              </w:rPr>
              <w:t>3</w:t>
            </w:r>
            <w:r>
              <w:rPr>
                <w:rFonts w:hint="eastAsia"/>
                <w:bCs/>
                <w:color w:val="auto"/>
                <w:sz w:val="24"/>
              </w:rPr>
              <w:t>。</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综上所述，本项目单具遗体火化烟气的排放情况如下：</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表4-3  本项目单具遗体火化烟气排放情况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938"/>
              <w:gridCol w:w="826"/>
              <w:gridCol w:w="882"/>
              <w:gridCol w:w="885"/>
              <w:gridCol w:w="1162"/>
              <w:gridCol w:w="940"/>
              <w:gridCol w:w="132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序号</w:t>
                  </w:r>
                </w:p>
              </w:tc>
              <w:tc>
                <w:tcPr>
                  <w:tcW w:w="54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火化遗体数量(具)</w:t>
                  </w:r>
                </w:p>
              </w:tc>
              <w:tc>
                <w:tcPr>
                  <w:tcW w:w="483"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时间(min)</w:t>
                  </w:r>
                </w:p>
              </w:tc>
              <w:tc>
                <w:tcPr>
                  <w:tcW w:w="51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烟气量(m³/h)</w:t>
                  </w:r>
                </w:p>
              </w:tc>
              <w:tc>
                <w:tcPr>
                  <w:tcW w:w="51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68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治理措施</w:t>
                  </w:r>
                </w:p>
              </w:tc>
              <w:tc>
                <w:tcPr>
                  <w:tcW w:w="5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排放浓度</w:t>
                  </w:r>
                  <w:r>
                    <w:rPr>
                      <w:rFonts w:hint="eastAsia"/>
                      <w:bCs/>
                      <w:color w:val="auto"/>
                      <w:szCs w:val="21"/>
                    </w:rPr>
                    <w:t>（mg/m³）</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排放量</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（kg/具）</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w:t>
                  </w:r>
                </w:p>
              </w:tc>
              <w:tc>
                <w:tcPr>
                  <w:tcW w:w="549"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483"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45</w:t>
                  </w:r>
                </w:p>
              </w:tc>
              <w:tc>
                <w:tcPr>
                  <w:tcW w:w="516"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6000</w:t>
                  </w: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680" w:type="pct"/>
                  <w:vMerge w:val="restart"/>
                  <w:vAlign w:val="center"/>
                </w:tcPr>
                <w:p>
                  <w:pPr>
                    <w:keepNext w:val="0"/>
                    <w:keepLines w:val="0"/>
                    <w:suppressLineNumbers w:val="0"/>
                    <w:topLinePunct/>
                    <w:spacing w:before="0" w:beforeAutospacing="0" w:after="0" w:afterAutospacing="0"/>
                    <w:ind w:left="0" w:right="0"/>
                    <w:jc w:val="center"/>
                    <w:rPr>
                      <w:rFonts w:hint="eastAsia"/>
                      <w:color w:val="auto"/>
                      <w:szCs w:val="21"/>
                    </w:rPr>
                  </w:pPr>
                  <w:r>
                    <w:rPr>
                      <w:rFonts w:hint="eastAsia"/>
                      <w:color w:val="auto"/>
                      <w:szCs w:val="21"/>
                    </w:rPr>
                    <w:t>急冷装置+半干法脱硫+活性炭喷射装置+布袋除尘器</w:t>
                  </w:r>
                  <w:r>
                    <w:rPr>
                      <w:rFonts w:hint="eastAsia"/>
                      <w:bCs/>
                      <w:color w:val="auto"/>
                      <w:szCs w:val="21"/>
                    </w:rPr>
                    <w:t>+活性炭吸附</w:t>
                  </w:r>
                  <w:r>
                    <w:rPr>
                      <w:rFonts w:hint="eastAsia"/>
                      <w:color w:val="auto"/>
                      <w:szCs w:val="21"/>
                    </w:rPr>
                    <w:t>+12m高排气筒</w:t>
                  </w: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20</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0.09</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2</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15</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0.0675</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3</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150</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0.675</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4</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120</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0.54</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5</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10</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0.045</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6</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color w:val="auto"/>
                      <w:szCs w:val="21"/>
                    </w:rPr>
                    <w:t>0.08</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0.00036</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7</w:t>
                  </w:r>
                </w:p>
              </w:tc>
              <w:tc>
                <w:tcPr>
                  <w:tcW w:w="54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83"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68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55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0.41ng TEQ/m</w:t>
                  </w:r>
                  <w:r>
                    <w:rPr>
                      <w:rFonts w:hint="eastAsia"/>
                      <w:b w:val="0"/>
                      <w:bCs/>
                      <w:color w:val="auto"/>
                      <w:szCs w:val="21"/>
                      <w:vertAlign w:val="superscript"/>
                    </w:rPr>
                    <w:t>3</w:t>
                  </w:r>
                </w:p>
              </w:tc>
              <w:tc>
                <w:tcPr>
                  <w:tcW w:w="7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1845</w:t>
                  </w:r>
                  <w:r>
                    <w:rPr>
                      <w:rFonts w:hint="eastAsia"/>
                      <w:color w:val="auto"/>
                    </w:rPr>
                    <w:t xml:space="preserve"> </w:t>
                  </w:r>
                  <w:r>
                    <w:rPr>
                      <w:rFonts w:hint="eastAsia"/>
                      <w:color w:val="auto"/>
                      <w:szCs w:val="21"/>
                    </w:rPr>
                    <w:t>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w:t>
                  </w:r>
                </w:p>
              </w:tc>
              <w:tc>
                <w:tcPr>
                  <w:tcW w:w="6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2460 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pPr>
                    <w:keepNext w:val="0"/>
                    <w:keepLines w:val="0"/>
                    <w:suppressLineNumbers w:val="0"/>
                    <w:spacing w:before="0" w:beforeAutospacing="0" w:after="0" w:afterAutospacing="0"/>
                    <w:ind w:left="0" w:right="0"/>
                    <w:rPr>
                      <w:rFonts w:hint="eastAsia" w:ascii="黑体" w:hAnsi="黑体" w:eastAsia="黑体"/>
                      <w:color w:val="auto"/>
                      <w:szCs w:val="21"/>
                    </w:rPr>
                  </w:pPr>
                  <w:r>
                    <w:rPr>
                      <w:rFonts w:hint="eastAsia" w:ascii="黑体" w:hAnsi="黑体" w:eastAsia="黑体"/>
                      <w:color w:val="auto"/>
                      <w:szCs w:val="21"/>
                    </w:rPr>
                    <w:t>注：根据《火葬场大气污染物排放标准》（GB13801-2015）中4.6的要求，</w:t>
                  </w:r>
                  <w:r>
                    <w:rPr>
                      <w:rFonts w:hint="eastAsia" w:ascii="黑体" w:hAnsi="黑体" w:eastAsia="黑体"/>
                      <w:bCs/>
                      <w:color w:val="auto"/>
                      <w:szCs w:val="21"/>
                    </w:rPr>
                    <w:t>新建单位专用设备（含火化间）的排气筒高度不应低于12m；排气筒周围半径200m距离内有建筑物时，排气筒还应高出最高建筑物3m以上。本项目火化烟气排气筒半径200m范围内最高的建筑物为殡仪馆2层办公用房，高度低于9m，因此本项目火化烟气排气筒12m高度满足要求。</w:t>
                  </w:r>
                </w:p>
              </w:tc>
            </w:tr>
          </w:tbl>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3台节能环保火化机分别单独配置一套废气处理设施+1根12m高排气筒；共3套废气处理设施，3根12m高排气筒。本次评价分别给出单台火化机运行时单个排气筒的污染物排放量、以及全年污染物排放总量。分别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color w:val="auto"/>
                <w:sz w:val="24"/>
                <w:szCs w:val="32"/>
              </w:rPr>
            </w:pP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表4-4  本项目</w:t>
            </w:r>
            <w:r>
              <w:rPr>
                <w:rFonts w:hint="eastAsia" w:ascii="黑体" w:hAnsi="黑体" w:eastAsia="黑体"/>
                <w:bCs/>
                <w:color w:val="auto"/>
                <w:sz w:val="24"/>
                <w:szCs w:val="32"/>
              </w:rPr>
              <w:t>单台火化机运行时</w:t>
            </w:r>
            <w:r>
              <w:rPr>
                <w:rFonts w:hint="eastAsia" w:ascii="黑体" w:hAnsi="黑体" w:eastAsia="黑体"/>
                <w:color w:val="auto"/>
                <w:sz w:val="24"/>
                <w:szCs w:val="32"/>
              </w:rPr>
              <w:t>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90"/>
              <w:gridCol w:w="788"/>
              <w:gridCol w:w="844"/>
              <w:gridCol w:w="848"/>
              <w:gridCol w:w="1125"/>
              <w:gridCol w:w="1243"/>
              <w:gridCol w:w="12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序号</w:t>
                  </w:r>
                </w:p>
              </w:tc>
              <w:tc>
                <w:tcPr>
                  <w:tcW w:w="52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火化遗体数量(具)</w:t>
                  </w:r>
                </w:p>
              </w:tc>
              <w:tc>
                <w:tcPr>
                  <w:tcW w:w="46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火化</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时间(min)</w:t>
                  </w:r>
                </w:p>
              </w:tc>
              <w:tc>
                <w:tcPr>
                  <w:tcW w:w="49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烟气量(m³/h)</w:t>
                  </w:r>
                </w:p>
              </w:tc>
              <w:tc>
                <w:tcPr>
                  <w:tcW w:w="49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6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治理措施</w:t>
                  </w:r>
                </w:p>
              </w:tc>
              <w:tc>
                <w:tcPr>
                  <w:tcW w:w="72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排放浓度</w:t>
                  </w:r>
                  <w:r>
                    <w:rPr>
                      <w:rFonts w:hint="eastAsia"/>
                      <w:bCs/>
                      <w:color w:val="auto"/>
                      <w:szCs w:val="21"/>
                    </w:rPr>
                    <w:t>（mg/m³）</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排放量</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（kg/次）</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w:t>
                  </w:r>
                </w:p>
              </w:tc>
              <w:tc>
                <w:tcPr>
                  <w:tcW w:w="521"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461"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45</w:t>
                  </w:r>
                </w:p>
              </w:tc>
              <w:tc>
                <w:tcPr>
                  <w:tcW w:w="494"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6000</w:t>
                  </w: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658" w:type="pct"/>
                  <w:vMerge w:val="restart"/>
                  <w:vAlign w:val="center"/>
                </w:tcPr>
                <w:p>
                  <w:pPr>
                    <w:keepNext w:val="0"/>
                    <w:keepLines w:val="0"/>
                    <w:suppressLineNumbers w:val="0"/>
                    <w:topLinePunct/>
                    <w:spacing w:before="0" w:beforeAutospacing="0" w:after="0" w:afterAutospacing="0"/>
                    <w:ind w:left="0" w:right="0"/>
                    <w:jc w:val="center"/>
                    <w:rPr>
                      <w:rFonts w:hint="eastAsia"/>
                      <w:color w:val="auto"/>
                      <w:szCs w:val="21"/>
                    </w:rPr>
                  </w:pPr>
                  <w:r>
                    <w:rPr>
                      <w:rFonts w:hint="eastAsia"/>
                      <w:color w:val="auto"/>
                      <w:szCs w:val="21"/>
                    </w:rPr>
                    <w:t>急冷装置+半干法脱硫+活性炭喷射装置+布袋除尘器</w:t>
                  </w:r>
                  <w:r>
                    <w:rPr>
                      <w:rFonts w:hint="eastAsia"/>
                      <w:bCs/>
                      <w:color w:val="auto"/>
                      <w:szCs w:val="21"/>
                    </w:rPr>
                    <w:t>+活性炭吸附</w:t>
                  </w:r>
                  <w:r>
                    <w:rPr>
                      <w:rFonts w:hint="eastAsia"/>
                      <w:color w:val="auto"/>
                      <w:szCs w:val="21"/>
                    </w:rPr>
                    <w:t>+12m高排气筒</w:t>
                  </w: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20</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0.09</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2</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15</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0.0675</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3</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150</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0.675</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4</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120</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0.54</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5</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10</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0.045</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6</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color w:val="auto"/>
                      <w:szCs w:val="21"/>
                    </w:rPr>
                    <w:t>0.08</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0.00036</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7</w:t>
                  </w:r>
                </w:p>
              </w:tc>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6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4"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496"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65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27"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0.41ng TEQ/m</w:t>
                  </w:r>
                  <w:r>
                    <w:rPr>
                      <w:rFonts w:hint="eastAsia"/>
                      <w:b w:val="0"/>
                      <w:bCs/>
                      <w:color w:val="auto"/>
                      <w:szCs w:val="21"/>
                      <w:vertAlign w:val="superscript"/>
                    </w:rPr>
                    <w:t>3</w:t>
                  </w:r>
                </w:p>
              </w:tc>
              <w:tc>
                <w:tcPr>
                  <w:tcW w:w="75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1845</w:t>
                  </w:r>
                  <w:r>
                    <w:rPr>
                      <w:rFonts w:hint="eastAsia"/>
                      <w:color w:val="auto"/>
                    </w:rPr>
                    <w:t xml:space="preserve"> </w:t>
                  </w:r>
                  <w:r>
                    <w:rPr>
                      <w:rFonts w:hint="eastAsia"/>
                      <w:color w:val="auto"/>
                      <w:szCs w:val="21"/>
                    </w:rPr>
                    <w:t>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w:t>
                  </w:r>
                </w:p>
              </w:tc>
              <w:tc>
                <w:tcPr>
                  <w:tcW w:w="634"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2460 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TEQ/h</w:t>
                  </w:r>
                </w:p>
              </w:tc>
            </w:tr>
          </w:tbl>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本项目年最大服务能力为火化2190具遗体，则遗体火化烟气排气筒污染物年排放量见下表。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 xml:space="preserve">表4-5  </w:t>
            </w:r>
            <w:r>
              <w:rPr>
                <w:rFonts w:hint="eastAsia" w:ascii="黑体" w:hAnsi="黑体" w:eastAsia="黑体"/>
                <w:bCs/>
                <w:color w:val="auto"/>
                <w:sz w:val="24"/>
                <w:szCs w:val="32"/>
              </w:rPr>
              <w:t>遗体火化烟气排气筒DA001</w:t>
            </w:r>
            <w:r>
              <w:rPr>
                <w:rFonts w:hint="eastAsia" w:ascii="黑体" w:hAnsi="黑体" w:eastAsia="黑体"/>
                <w:color w:val="auto"/>
                <w:sz w:val="24"/>
                <w:szCs w:val="32"/>
              </w:rPr>
              <w:t>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49"/>
              <w:gridCol w:w="1383"/>
              <w:gridCol w:w="1381"/>
              <w:gridCol w:w="1292"/>
              <w:gridCol w:w="1292"/>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污染源</w:t>
                  </w:r>
                </w:p>
              </w:tc>
              <w:tc>
                <w:tcPr>
                  <w:tcW w:w="6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废气量m</w:t>
                  </w:r>
                  <w:r>
                    <w:rPr>
                      <w:rFonts w:hint="eastAsia"/>
                      <w:color w:val="auto"/>
                      <w:szCs w:val="21"/>
                      <w:vertAlign w:val="superscript"/>
                    </w:rPr>
                    <w:t>3</w:t>
                  </w:r>
                  <w:r>
                    <w:rPr>
                      <w:rFonts w:hint="eastAsia"/>
                      <w:color w:val="auto"/>
                      <w:szCs w:val="21"/>
                    </w:rPr>
                    <w:t>/h</w:t>
                  </w:r>
                </w:p>
              </w:tc>
              <w:tc>
                <w:tcPr>
                  <w:tcW w:w="80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80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排放浓度</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mg/m</w:t>
                  </w:r>
                  <w:r>
                    <w:rPr>
                      <w:rFonts w:hint="eastAsia"/>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排放标准</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排放速率</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kg/h</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排放量</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遗体火化烟气排气筒DA001</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~003</w:t>
                  </w:r>
                </w:p>
              </w:tc>
              <w:tc>
                <w:tcPr>
                  <w:tcW w:w="672"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18000</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(三台火化炉共同运行时，年排放时间547.5h/a)</w:t>
                  </w: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0.36</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0.27</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2.7</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1.4782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120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2.16</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0.18</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0.08</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0.1</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0.00144</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0.000788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80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0.41</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ng TEQ/m</w:t>
                  </w:r>
                  <w:r>
                    <w:rPr>
                      <w:rFonts w:hint="eastAsia"/>
                      <w:bCs/>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0.5</w:t>
                  </w:r>
                  <w:r>
                    <w:rPr>
                      <w:rFonts w:hint="eastAsia"/>
                      <w:bCs/>
                      <w:color w:val="auto"/>
                      <w:szCs w:val="21"/>
                    </w:rPr>
                    <w:t xml:space="preserve"> ng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TEQ/m</w:t>
                  </w:r>
                  <w:r>
                    <w:rPr>
                      <w:rFonts w:hint="eastAsia"/>
                      <w:bCs/>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7380 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TEQ/h</w:t>
                  </w:r>
                </w:p>
              </w:tc>
              <w:tc>
                <w:tcPr>
                  <w:tcW w:w="67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4.04</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kern w:val="0"/>
                      <w:szCs w:val="21"/>
                      <w:lang w:bidi="ar"/>
                    </w:rPr>
                    <w:t>mg</w:t>
                  </w:r>
                  <w:r>
                    <w:rPr>
                      <w:rFonts w:hint="eastAsia"/>
                      <w:bCs/>
                      <w:color w:val="auto"/>
                      <w:szCs w:val="21"/>
                    </w:rPr>
                    <w:t>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pPr>
                    <w:keepNext w:val="0"/>
                    <w:keepLines w:val="0"/>
                    <w:suppressLineNumbers w:val="0"/>
                    <w:spacing w:before="0" w:beforeAutospacing="0" w:after="0" w:afterAutospacing="0"/>
                    <w:ind w:left="0" w:right="0"/>
                    <w:rPr>
                      <w:rFonts w:hint="eastAsia"/>
                      <w:color w:val="auto"/>
                      <w:szCs w:val="21"/>
                    </w:rPr>
                  </w:pPr>
                  <w:r>
                    <w:rPr>
                      <w:rFonts w:hint="eastAsia"/>
                      <w:color w:val="auto"/>
                      <w:szCs w:val="21"/>
                    </w:rPr>
                    <w:t>注：本项目3台节能环保火化机配套3根12m高排气筒，排放污染物相同，距离分别小于两根排气筒高度之和，可等效为1根排气筒，等效排气筒高度为12m。</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火化间共配备3台节能环保燃油火化机，燃料采用0#-30#轻质柴油，年最大服务能力为火化2190具遗体；3台节能环保火化机分别单独配置一套废气处理设施+1根12m高排气筒；共3套废气处理设施，3根12m高排气筒。尾气处理设施采取急冷装置+半干法脱硫+活性炭喷射+布袋除尘器+活性炭吸附组合方案，遗体火化烟气经尾气处理设施净化后由12m高排气筒（DA001~003）外排；烟气中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、CO、HCl、汞、二噁英类的排放浓度可满足《火葬场大气污染物排放标准》（GB13801-2015）中表2新建单位遗体火化大气污染物排放限值要求；其中烟尘排放量为0.1971t/a，SO</w:t>
            </w:r>
            <w:r>
              <w:rPr>
                <w:rFonts w:hint="eastAsia"/>
                <w:bCs/>
                <w:color w:val="auto"/>
                <w:sz w:val="24"/>
                <w:vertAlign w:val="subscript"/>
              </w:rPr>
              <w:t>2</w:t>
            </w:r>
            <w:r>
              <w:rPr>
                <w:rFonts w:hint="eastAsia"/>
                <w:bCs/>
                <w:color w:val="auto"/>
                <w:sz w:val="24"/>
              </w:rPr>
              <w:t>排放量为0.1478t/a，NO</w:t>
            </w:r>
            <w:r>
              <w:rPr>
                <w:rFonts w:hint="eastAsia"/>
                <w:bCs/>
                <w:color w:val="auto"/>
                <w:sz w:val="24"/>
                <w:vertAlign w:val="subscript"/>
              </w:rPr>
              <w:t>x</w:t>
            </w:r>
            <w:r>
              <w:rPr>
                <w:rFonts w:hint="eastAsia"/>
                <w:bCs/>
                <w:color w:val="auto"/>
                <w:sz w:val="24"/>
              </w:rPr>
              <w:t>排放量为1.4782 t/a，CO排放量为1.1826t/a，HCl排放量为0.0986t/a，汞排放量为0.000788t/a，二噁英类排放量为4.04</w:t>
            </w:r>
            <w:r>
              <w:rPr>
                <w:rFonts w:hint="eastAsia"/>
                <w:color w:val="auto"/>
                <w:kern w:val="0"/>
                <w:szCs w:val="21"/>
                <w:lang w:bidi="ar"/>
              </w:rPr>
              <w:t xml:space="preserve"> </w:t>
            </w:r>
            <w:r>
              <w:rPr>
                <w:rFonts w:hint="eastAsia"/>
                <w:bCs/>
                <w:color w:val="auto"/>
                <w:sz w:val="24"/>
              </w:rPr>
              <w:t>mgTEQ/a。</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宋体" w:hAnsi="宋体" w:cs="Times New Roman"/>
                <w:bCs/>
                <w:color w:val="auto"/>
                <w:kern w:val="2"/>
                <w:sz w:val="24"/>
                <w:szCs w:val="24"/>
                <w:lang w:val="en-US" w:eastAsia="zh-CN" w:bidi="ar"/>
              </w:rPr>
            </w:pPr>
            <w:r>
              <w:rPr>
                <w:rFonts w:hint="eastAsia"/>
                <w:bCs/>
                <w:color w:val="auto"/>
                <w:sz w:val="24"/>
                <w:lang w:val="en-US" w:eastAsia="zh-CN"/>
              </w:rPr>
              <w:t>本次评价收集了</w:t>
            </w:r>
            <w:r>
              <w:rPr>
                <w:rFonts w:hint="eastAsia"/>
                <w:bCs/>
                <w:color w:val="auto"/>
                <w:sz w:val="24"/>
              </w:rPr>
              <w:t>《昆明市殡仪馆改扩建建设项目竣工环境保护验收监测报告表》（2020.7）中</w:t>
            </w:r>
            <w:r>
              <w:rPr>
                <w:rFonts w:hint="eastAsia"/>
                <w:bCs/>
                <w:color w:val="auto"/>
                <w:sz w:val="24"/>
                <w:lang w:val="en-US" w:eastAsia="zh-CN"/>
              </w:rPr>
              <w:t>火化</w:t>
            </w:r>
            <w:r>
              <w:rPr>
                <w:rFonts w:hint="eastAsia"/>
                <w:bCs/>
                <w:color w:val="auto"/>
                <w:sz w:val="24"/>
              </w:rPr>
              <w:t>炉的监测数据</w:t>
            </w:r>
            <w:r>
              <w:rPr>
                <w:rFonts w:hint="eastAsia"/>
                <w:bCs/>
                <w:color w:val="auto"/>
                <w:sz w:val="24"/>
                <w:lang w:val="en-US" w:eastAsia="zh-CN"/>
              </w:rPr>
              <w:t>以佐证本项目拟采用</w:t>
            </w:r>
            <w:r>
              <w:rPr>
                <w:rFonts w:hint="eastAsia" w:ascii="宋体" w:hAnsi="宋体" w:eastAsia="宋体" w:cs="Times New Roman"/>
                <w:bCs/>
                <w:color w:val="auto"/>
                <w:kern w:val="2"/>
                <w:sz w:val="24"/>
                <w:szCs w:val="24"/>
                <w:lang w:val="en-US" w:eastAsia="zh-CN" w:bidi="ar"/>
              </w:rPr>
              <w:t>YQ欧亚式火化机</w:t>
            </w:r>
            <w:r>
              <w:rPr>
                <w:rFonts w:hint="eastAsia" w:ascii="宋体" w:hAnsi="宋体" w:cs="Times New Roman"/>
                <w:bCs/>
                <w:color w:val="auto"/>
                <w:kern w:val="2"/>
                <w:sz w:val="24"/>
                <w:szCs w:val="24"/>
                <w:lang w:val="en-US" w:eastAsia="zh-CN" w:bidi="ar"/>
              </w:rPr>
              <w:t>的</w:t>
            </w:r>
            <w:r>
              <w:rPr>
                <w:rFonts w:hint="eastAsia" w:ascii="宋体" w:hAnsi="宋体" w:eastAsia="宋体" w:cs="Times New Roman"/>
                <w:bCs/>
                <w:color w:val="auto"/>
                <w:kern w:val="2"/>
                <w:sz w:val="24"/>
                <w:szCs w:val="24"/>
                <w:lang w:val="en-US" w:eastAsia="zh-CN" w:bidi="ar"/>
              </w:rPr>
              <w:t>污染物产排情况</w:t>
            </w:r>
            <w:r>
              <w:rPr>
                <w:rFonts w:hint="eastAsia" w:ascii="宋体" w:hAnsi="宋体" w:cs="Times New Roman"/>
                <w:bCs/>
                <w:color w:val="auto"/>
                <w:kern w:val="2"/>
                <w:sz w:val="24"/>
                <w:szCs w:val="24"/>
                <w:lang w:val="en-US" w:eastAsia="zh-CN" w:bidi="ar"/>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eastAsia="zh-CN"/>
              </w:rPr>
              <w:t>“</w:t>
            </w:r>
            <w:r>
              <w:rPr>
                <w:rFonts w:hint="eastAsia"/>
                <w:bCs/>
                <w:color w:val="auto"/>
                <w:sz w:val="24"/>
              </w:rPr>
              <w:t>昆明市殡仪馆改扩建建设项目</w:t>
            </w:r>
            <w:r>
              <w:rPr>
                <w:rFonts w:hint="eastAsia"/>
                <w:bCs/>
                <w:color w:val="auto"/>
                <w:sz w:val="24"/>
                <w:lang w:eastAsia="zh-CN"/>
              </w:rPr>
              <w:t>”</w:t>
            </w:r>
            <w:r>
              <w:rPr>
                <w:rFonts w:hint="eastAsia"/>
                <w:bCs/>
                <w:color w:val="auto"/>
                <w:sz w:val="24"/>
                <w:lang w:val="en-US" w:eastAsia="zh-CN"/>
              </w:rPr>
              <w:t>共建设MZ-2000节能环保型平板火化机和SSD-JHL超节能环保型拣灰火化机共计14台，该2种火化机结构与</w:t>
            </w:r>
            <w:r>
              <w:rPr>
                <w:rFonts w:hint="eastAsia" w:ascii="宋体" w:hAnsi="宋体" w:eastAsia="宋体" w:cs="Times New Roman"/>
                <w:bCs/>
                <w:color w:val="auto"/>
                <w:kern w:val="2"/>
                <w:sz w:val="24"/>
                <w:szCs w:val="24"/>
                <w:lang w:val="en-US" w:eastAsia="zh-CN" w:bidi="ar"/>
              </w:rPr>
              <w:t>YQ欧亚式火化机</w:t>
            </w:r>
            <w:r>
              <w:rPr>
                <w:rFonts w:hint="eastAsia" w:ascii="宋体" w:hAnsi="宋体" w:cs="Times New Roman"/>
                <w:bCs/>
                <w:color w:val="auto"/>
                <w:kern w:val="2"/>
                <w:sz w:val="24"/>
                <w:szCs w:val="24"/>
                <w:lang w:val="en-US" w:eastAsia="zh-CN" w:bidi="ar"/>
              </w:rPr>
              <w:t>基本相同，均采用</w:t>
            </w:r>
            <w:r>
              <w:rPr>
                <w:rFonts w:hint="eastAsia"/>
                <w:bCs/>
                <w:color w:val="auto"/>
                <w:sz w:val="24"/>
              </w:rPr>
              <w:t>二级燃烧技术，燃烧过程</w:t>
            </w:r>
            <w:r>
              <w:rPr>
                <w:rFonts w:hint="eastAsia"/>
                <w:bCs/>
                <w:color w:val="auto"/>
                <w:sz w:val="24"/>
                <w:lang w:val="en-US" w:eastAsia="zh-CN"/>
              </w:rPr>
              <w:t>可实行</w:t>
            </w:r>
            <w:r>
              <w:rPr>
                <w:rFonts w:hint="eastAsia"/>
                <w:bCs/>
                <w:color w:val="auto"/>
                <w:sz w:val="24"/>
              </w:rPr>
              <w:t>全自动控制</w:t>
            </w:r>
            <w:r>
              <w:rPr>
                <w:rFonts w:hint="eastAsia"/>
                <w:bCs/>
                <w:color w:val="auto"/>
                <w:sz w:val="24"/>
                <w:lang w:eastAsia="zh-CN"/>
              </w:rPr>
              <w:t>，</w:t>
            </w:r>
            <w:r>
              <w:rPr>
                <w:rFonts w:hint="eastAsia"/>
                <w:bCs/>
                <w:color w:val="auto"/>
                <w:sz w:val="24"/>
              </w:rPr>
              <w:t>实现自动点火、自动调整炉膛压力、自动调整炉膛内燃烧用的空气量、自动控制炉膛内的温度在合适的范围内，使烟气中的有毒有害物质在最佳的燃烧状态下被充分氧化分解。</w:t>
            </w:r>
            <w:r>
              <w:rPr>
                <w:rFonts w:hint="eastAsia"/>
                <w:bCs/>
                <w:color w:val="auto"/>
                <w:sz w:val="24"/>
                <w:lang w:val="en-US" w:eastAsia="zh-CN"/>
              </w:rPr>
              <w:t>该</w:t>
            </w:r>
            <w:r>
              <w:rPr>
                <w:rFonts w:hint="eastAsia"/>
                <w:bCs/>
                <w:color w:val="auto"/>
                <w:sz w:val="24"/>
              </w:rPr>
              <w:t>项目火化车间共有14台火化机，每台火化机均配套尾气处理设备和排气筒，火化机废气采用“再次燃烧+冷凝塔+沉降塔+布袋除尘”措施处理后通过引风机经22m排气筒排放。</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lang w:val="en-US" w:eastAsia="zh-CN"/>
              </w:rPr>
              <w:t>其中MZ-2000节能环保型平板火化机烟气中污染物平均排放浓度见下表。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表4-</w:t>
            </w:r>
            <w:r>
              <w:rPr>
                <w:rFonts w:hint="eastAsia" w:ascii="黑体" w:hAnsi="黑体" w:eastAsia="黑体"/>
                <w:color w:val="auto"/>
                <w:sz w:val="24"/>
                <w:szCs w:val="32"/>
                <w:lang w:val="en-US" w:eastAsia="zh-CN"/>
              </w:rPr>
              <w:t>6</w:t>
            </w:r>
            <w:r>
              <w:rPr>
                <w:rFonts w:hint="eastAsia" w:ascii="黑体" w:hAnsi="黑体" w:eastAsia="黑体"/>
                <w:color w:val="auto"/>
                <w:sz w:val="24"/>
                <w:szCs w:val="32"/>
              </w:rPr>
              <w:t xml:space="preserve">  </w:t>
            </w:r>
            <w:r>
              <w:rPr>
                <w:rFonts w:hint="eastAsia" w:ascii="黑体" w:hAnsi="黑体" w:eastAsia="黑体"/>
                <w:color w:val="auto"/>
                <w:sz w:val="24"/>
                <w:szCs w:val="32"/>
                <w:lang w:val="en-US" w:eastAsia="zh-CN"/>
              </w:rPr>
              <w:t>MZ-2000节能环保型平板火化机烟气中污染物平均排放浓度</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298"/>
              <w:gridCol w:w="1569"/>
              <w:gridCol w:w="1568"/>
              <w:gridCol w:w="1465"/>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污染源</w:t>
                  </w:r>
                </w:p>
              </w:tc>
              <w:tc>
                <w:tcPr>
                  <w:tcW w:w="75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废气量</w:t>
                  </w:r>
                  <w:r>
                    <w:rPr>
                      <w:rFonts w:hint="eastAsia"/>
                      <w:color w:val="auto"/>
                      <w:szCs w:val="21"/>
                      <w:lang w:val="en-US" w:eastAsia="zh-CN"/>
                    </w:rPr>
                    <w:t>N</w:t>
                  </w:r>
                  <w:r>
                    <w:rPr>
                      <w:rFonts w:hint="eastAsia"/>
                      <w:color w:val="auto"/>
                      <w:szCs w:val="21"/>
                    </w:rPr>
                    <w:t>m</w:t>
                  </w:r>
                  <w:r>
                    <w:rPr>
                      <w:rFonts w:hint="eastAsia"/>
                      <w:color w:val="auto"/>
                      <w:szCs w:val="21"/>
                      <w:vertAlign w:val="superscript"/>
                    </w:rPr>
                    <w:t>3</w:t>
                  </w:r>
                  <w:r>
                    <w:rPr>
                      <w:rFonts w:hint="eastAsia"/>
                      <w:color w:val="auto"/>
                      <w:szCs w:val="21"/>
                    </w:rPr>
                    <w:t>/h</w:t>
                  </w:r>
                </w:p>
              </w:tc>
              <w:tc>
                <w:tcPr>
                  <w:tcW w:w="91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91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平均</w:t>
                  </w:r>
                  <w:r>
                    <w:rPr>
                      <w:rFonts w:hint="eastAsia"/>
                      <w:color w:val="auto"/>
                      <w:szCs w:val="21"/>
                    </w:rPr>
                    <w:t>排放浓度mg/m</w:t>
                  </w:r>
                  <w:r>
                    <w:rPr>
                      <w:rFonts w:hint="eastAsia"/>
                      <w:color w:val="auto"/>
                      <w:szCs w:val="21"/>
                      <w:vertAlign w:val="superscript"/>
                    </w:rPr>
                    <w:t>3</w:t>
                  </w:r>
                </w:p>
              </w:tc>
              <w:tc>
                <w:tcPr>
                  <w:tcW w:w="8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排放标准</w:t>
                  </w:r>
                </w:p>
              </w:tc>
              <w:tc>
                <w:tcPr>
                  <w:tcW w:w="85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MZ-2000节能环保型平板火化</w:t>
                  </w:r>
                </w:p>
              </w:tc>
              <w:tc>
                <w:tcPr>
                  <w:tcW w:w="759" w:type="pct"/>
                  <w:vMerge w:val="restar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4086</w:t>
                  </w: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20.95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17</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119.5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132.5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17.3</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0.00905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0.1</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917"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123</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ng TEQ/m</w:t>
                  </w:r>
                  <w:r>
                    <w:rPr>
                      <w:rFonts w:hint="eastAsia"/>
                      <w:bCs/>
                      <w:color w:val="auto"/>
                      <w:szCs w:val="21"/>
                      <w:vertAlign w:val="superscript"/>
                    </w:rPr>
                    <w:t>3</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0.5</w:t>
                  </w:r>
                  <w:r>
                    <w:rPr>
                      <w:rFonts w:hint="eastAsia"/>
                      <w:bCs/>
                      <w:color w:val="auto"/>
                      <w:szCs w:val="21"/>
                    </w:rPr>
                    <w:t xml:space="preserve"> ng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TEQ/m</w:t>
                  </w:r>
                  <w:r>
                    <w:rPr>
                      <w:rFonts w:hint="eastAsia"/>
                      <w:bCs/>
                      <w:color w:val="auto"/>
                      <w:szCs w:val="21"/>
                      <w:vertAlign w:val="superscript"/>
                    </w:rPr>
                    <w:t>3</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lang w:val="en-US" w:eastAsia="zh-CN"/>
              </w:rPr>
              <w:t>其中SSD-JHL超节能环保型拣灰火化机烟气中污染物平均排放浓度见下表。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bCs/>
                <w:color w:val="auto"/>
                <w:sz w:val="32"/>
                <w:szCs w:val="32"/>
              </w:rPr>
            </w:pPr>
            <w:r>
              <w:rPr>
                <w:rFonts w:hint="eastAsia" w:ascii="黑体" w:hAnsi="黑体" w:eastAsia="黑体"/>
                <w:color w:val="auto"/>
                <w:sz w:val="24"/>
                <w:szCs w:val="32"/>
              </w:rPr>
              <w:t>表4-</w:t>
            </w:r>
            <w:r>
              <w:rPr>
                <w:rFonts w:hint="eastAsia" w:ascii="黑体" w:hAnsi="黑体" w:eastAsia="黑体"/>
                <w:color w:val="auto"/>
                <w:sz w:val="24"/>
                <w:szCs w:val="32"/>
                <w:lang w:val="en-US" w:eastAsia="zh-CN"/>
              </w:rPr>
              <w:t>7</w:t>
            </w:r>
            <w:r>
              <w:rPr>
                <w:rFonts w:hint="eastAsia" w:ascii="黑体" w:hAnsi="黑体" w:eastAsia="黑体"/>
                <w:color w:val="auto"/>
                <w:sz w:val="24"/>
                <w:szCs w:val="32"/>
              </w:rPr>
              <w:t xml:space="preserve">  SSD-JHL超节能环保型拣灰火化机</w:t>
            </w:r>
            <w:r>
              <w:rPr>
                <w:rFonts w:hint="eastAsia" w:ascii="黑体" w:hAnsi="黑体" w:eastAsia="黑体"/>
                <w:color w:val="auto"/>
                <w:sz w:val="24"/>
                <w:szCs w:val="32"/>
                <w:lang w:val="en-US" w:eastAsia="zh-CN"/>
              </w:rPr>
              <w:t>烟气中污染物平均排放浓度</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298"/>
              <w:gridCol w:w="1569"/>
              <w:gridCol w:w="1568"/>
              <w:gridCol w:w="1465"/>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污染源</w:t>
                  </w:r>
                </w:p>
              </w:tc>
              <w:tc>
                <w:tcPr>
                  <w:tcW w:w="75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废气量</w:t>
                  </w:r>
                  <w:r>
                    <w:rPr>
                      <w:rFonts w:hint="eastAsia"/>
                      <w:color w:val="auto"/>
                      <w:szCs w:val="21"/>
                      <w:lang w:val="en-US" w:eastAsia="zh-CN"/>
                    </w:rPr>
                    <w:t>N</w:t>
                  </w:r>
                  <w:r>
                    <w:rPr>
                      <w:rFonts w:hint="eastAsia"/>
                      <w:color w:val="auto"/>
                      <w:szCs w:val="21"/>
                    </w:rPr>
                    <w:t>m</w:t>
                  </w:r>
                  <w:r>
                    <w:rPr>
                      <w:rFonts w:hint="eastAsia"/>
                      <w:color w:val="auto"/>
                      <w:szCs w:val="21"/>
                      <w:vertAlign w:val="superscript"/>
                    </w:rPr>
                    <w:t>3</w:t>
                  </w:r>
                  <w:r>
                    <w:rPr>
                      <w:rFonts w:hint="eastAsia"/>
                      <w:color w:val="auto"/>
                      <w:szCs w:val="21"/>
                    </w:rPr>
                    <w:t>/h</w:t>
                  </w:r>
                </w:p>
              </w:tc>
              <w:tc>
                <w:tcPr>
                  <w:tcW w:w="91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91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平均</w:t>
                  </w:r>
                  <w:r>
                    <w:rPr>
                      <w:rFonts w:hint="eastAsia"/>
                      <w:color w:val="auto"/>
                      <w:szCs w:val="21"/>
                    </w:rPr>
                    <w:t>排放浓度mg/m</w:t>
                  </w:r>
                  <w:r>
                    <w:rPr>
                      <w:rFonts w:hint="eastAsia"/>
                      <w:color w:val="auto"/>
                      <w:szCs w:val="21"/>
                      <w:vertAlign w:val="superscript"/>
                    </w:rPr>
                    <w:t>3</w:t>
                  </w:r>
                </w:p>
              </w:tc>
              <w:tc>
                <w:tcPr>
                  <w:tcW w:w="857"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排放标准</w:t>
                  </w:r>
                </w:p>
              </w:tc>
              <w:tc>
                <w:tcPr>
                  <w:tcW w:w="858"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SSD-JHL超节能环保型拣灰火化机</w:t>
                  </w:r>
                </w:p>
              </w:tc>
              <w:tc>
                <w:tcPr>
                  <w:tcW w:w="759" w:type="pct"/>
                  <w:vMerge w:val="restar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4014.5</w:t>
                  </w: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21.75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18</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156</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126</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16.3</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汞</w:t>
                  </w:r>
                </w:p>
              </w:tc>
              <w:tc>
                <w:tcPr>
                  <w:tcW w:w="917"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0.00155</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0.1</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759"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918"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917" w:type="pct"/>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0.185</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ng TEQ/m</w:t>
                  </w:r>
                  <w:r>
                    <w:rPr>
                      <w:rFonts w:hint="eastAsia"/>
                      <w:bCs/>
                      <w:color w:val="auto"/>
                      <w:szCs w:val="21"/>
                      <w:vertAlign w:val="superscript"/>
                    </w:rPr>
                    <w:t>3</w:t>
                  </w:r>
                </w:p>
              </w:tc>
              <w:tc>
                <w:tcPr>
                  <w:tcW w:w="857"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0.5</w:t>
                  </w:r>
                  <w:r>
                    <w:rPr>
                      <w:rFonts w:hint="eastAsia"/>
                      <w:bCs/>
                      <w:color w:val="auto"/>
                      <w:szCs w:val="21"/>
                    </w:rPr>
                    <w:t xml:space="preserve"> ng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TEQ/m</w:t>
                  </w:r>
                  <w:r>
                    <w:rPr>
                      <w:rFonts w:hint="eastAsia"/>
                      <w:bCs/>
                      <w:color w:val="auto"/>
                      <w:szCs w:val="21"/>
                      <w:vertAlign w:val="superscript"/>
                    </w:rPr>
                    <w:t>3</w:t>
                  </w:r>
                </w:p>
              </w:tc>
              <w:tc>
                <w:tcPr>
                  <w:tcW w:w="85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达标</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lang w:val="en-US" w:eastAsia="zh-CN"/>
              </w:rPr>
              <w:t>由表4-6和表4-7可知，</w:t>
            </w:r>
            <w:r>
              <w:rPr>
                <w:rFonts w:hint="eastAsia"/>
                <w:bCs/>
                <w:color w:val="auto"/>
                <w:sz w:val="24"/>
                <w:lang w:eastAsia="zh-CN"/>
              </w:rPr>
              <w:t>“</w:t>
            </w:r>
            <w:r>
              <w:rPr>
                <w:rFonts w:hint="eastAsia"/>
                <w:bCs/>
                <w:color w:val="auto"/>
                <w:sz w:val="24"/>
              </w:rPr>
              <w:t>昆明市殡仪馆改扩建建设项目</w:t>
            </w:r>
            <w:r>
              <w:rPr>
                <w:rFonts w:hint="eastAsia"/>
                <w:bCs/>
                <w:color w:val="auto"/>
                <w:sz w:val="24"/>
                <w:lang w:eastAsia="zh-CN"/>
              </w:rPr>
              <w:t>”</w:t>
            </w:r>
            <w:r>
              <w:rPr>
                <w:rFonts w:hint="eastAsia"/>
                <w:bCs/>
                <w:color w:val="auto"/>
                <w:sz w:val="24"/>
                <w:lang w:val="en-US" w:eastAsia="zh-CN"/>
              </w:rPr>
              <w:t>中建设的MZ-2000节能环保型平板火化机和SSD-JHL超节能环保型拣灰火化机污染物排放情况基本与本项目火化机污染物排放情况相同，均满足《火葬场大气污染物排放标准》（GB13801-2015）中表2新建单位遗体火化大气污染物排放限值要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rPr>
              <w:t>2</w:t>
            </w:r>
            <w:r>
              <w:rPr>
                <w:rFonts w:hint="eastAsia"/>
                <w:b/>
                <w:bCs/>
                <w:color w:val="auto"/>
                <w:sz w:val="24"/>
              </w:rPr>
              <w:t>：遗物祭品焚烧废气</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GB"/>
              </w:rPr>
              <w:t>本项目设置了</w:t>
            </w:r>
            <w:r>
              <w:rPr>
                <w:rFonts w:hint="eastAsia"/>
                <w:bCs/>
                <w:color w:val="auto"/>
                <w:sz w:val="24"/>
              </w:rPr>
              <w:t>遗物祭品</w:t>
            </w:r>
            <w:r>
              <w:rPr>
                <w:rFonts w:hint="eastAsia"/>
                <w:bCs/>
                <w:color w:val="auto"/>
                <w:sz w:val="24"/>
                <w:lang w:val="en-GB"/>
              </w:rPr>
              <w:t>焚烧炉</w:t>
            </w:r>
            <w:r>
              <w:rPr>
                <w:rFonts w:hint="eastAsia"/>
                <w:bCs/>
                <w:color w:val="auto"/>
                <w:sz w:val="24"/>
              </w:rPr>
              <w:t>1</w:t>
            </w:r>
            <w:r>
              <w:rPr>
                <w:rFonts w:hint="eastAsia"/>
                <w:bCs/>
                <w:color w:val="auto"/>
                <w:sz w:val="24"/>
                <w:lang w:val="en-GB"/>
              </w:rPr>
              <w:t>座，主要焚烧逝者衣物等随身用品及祭奠用品，祭奠用品主要包括花圈、房屋等纸竹类祭奠用品；本项目禁止焚烧带有塑料制品、金箔等重金属类的祭奠用品。</w:t>
            </w:r>
            <w:r>
              <w:rPr>
                <w:rFonts w:hint="eastAsia"/>
                <w:bCs/>
                <w:color w:val="auto"/>
                <w:sz w:val="24"/>
              </w:rPr>
              <w:t>遗物祭品焚烧炉日运行4h，年运行365天。</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遗物祭品焚烧炉运行过程中产生的废气污染物主要为烟尘、SO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、CO、HCl、二噁英类等。</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本次评价收集了《昆明市殡仪馆改扩建建设项目竣工环境保护验收监测报告表》（2020.7）中遗物祭品焚烧炉的监测数据；</w:t>
            </w:r>
            <w:r>
              <w:rPr>
                <w:rFonts w:hint="eastAsia"/>
                <w:color w:val="auto"/>
                <w:kern w:val="0"/>
                <w:sz w:val="24"/>
              </w:rPr>
              <w:t>昆明市殡仪馆建有14台火化炉、4台焚烧炉，其中焚烧炉废气采用布袋除尘器处理后外排；具体监测结果见下表。其监测结果基本可以反应目前遗物祭品焚烧炉排污现状。本项目参照其监测结果，并提出本项目遗物祭品焚烧炉的排污数据。</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8</w:t>
            </w:r>
            <w:r>
              <w:rPr>
                <w:rFonts w:hint="eastAsia" w:ascii="黑体" w:hAnsi="黑体" w:eastAsia="黑体"/>
                <w:bCs/>
                <w:color w:val="auto"/>
                <w:sz w:val="24"/>
              </w:rPr>
              <w:t xml:space="preserve">  昆明市殡仪馆焚烧炉烟气监测结果统计表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000"/>
              <w:gridCol w:w="930"/>
              <w:gridCol w:w="930"/>
              <w:gridCol w:w="930"/>
              <w:gridCol w:w="930"/>
              <w:gridCol w:w="930"/>
              <w:gridCol w:w="1147"/>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监测点位</w:t>
                  </w:r>
                </w:p>
              </w:tc>
              <w:tc>
                <w:tcPr>
                  <w:tcW w:w="585"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监测时间</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颗粒物</w:t>
                  </w:r>
                </w:p>
                <w:p>
                  <w:pPr>
                    <w:keepNext w:val="0"/>
                    <w:keepLines w:val="0"/>
                    <w:suppressLineNumbers w:val="0"/>
                    <w:spacing w:before="0" w:beforeAutospacing="0" w:after="0" w:afterAutospacing="0"/>
                    <w:ind w:left="0" w:right="0"/>
                    <w:jc w:val="center"/>
                    <w:rPr>
                      <w:rFonts w:hint="eastAsia"/>
                      <w:bCs/>
                      <w:color w:val="auto"/>
                      <w:szCs w:val="21"/>
                      <w:vertAlign w:val="superscript"/>
                    </w:rPr>
                  </w:pPr>
                  <w:r>
                    <w:rPr>
                      <w:rFonts w:hint="eastAsia"/>
                      <w:bCs/>
                      <w:color w:val="auto"/>
                      <w:szCs w:val="21"/>
                    </w:rPr>
                    <w:t>mg/m</w:t>
                  </w:r>
                  <w:r>
                    <w:rPr>
                      <w:rFonts w:hint="eastAsia"/>
                      <w:bCs/>
                      <w:color w:val="auto"/>
                      <w:szCs w:val="21"/>
                      <w:vertAlign w:val="superscript"/>
                    </w:rPr>
                    <w:t>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氯化氢</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mg/m</w:t>
                  </w:r>
                  <w:r>
                    <w:rPr>
                      <w:rFonts w:hint="eastAsia"/>
                      <w:bCs/>
                      <w:color w:val="auto"/>
                      <w:szCs w:val="21"/>
                      <w:vertAlign w:val="superscript"/>
                    </w:rPr>
                    <w:t>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二氧</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化硫</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mg/m</w:t>
                  </w:r>
                  <w:r>
                    <w:rPr>
                      <w:rFonts w:hint="eastAsia"/>
                      <w:bCs/>
                      <w:color w:val="auto"/>
                      <w:szCs w:val="21"/>
                      <w:vertAlign w:val="superscript"/>
                    </w:rPr>
                    <w:t>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氮氧</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化物</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mg/m</w:t>
                  </w:r>
                  <w:r>
                    <w:rPr>
                      <w:rFonts w:hint="eastAsia"/>
                      <w:bCs/>
                      <w:color w:val="auto"/>
                      <w:szCs w:val="21"/>
                      <w:vertAlign w:val="superscript"/>
                    </w:rPr>
                    <w:t>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一氧</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化碳</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mg/m</w:t>
                  </w:r>
                  <w:r>
                    <w:rPr>
                      <w:rFonts w:hint="eastAsia"/>
                      <w:bCs/>
                      <w:color w:val="auto"/>
                      <w:szCs w:val="21"/>
                      <w:vertAlign w:val="superscript"/>
                    </w:rPr>
                    <w:t>3</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二噁英类</w:t>
                  </w:r>
                </w:p>
                <w:p>
                  <w:pPr>
                    <w:keepNext w:val="0"/>
                    <w:keepLines w:val="0"/>
                    <w:suppressLineNumbers w:val="0"/>
                    <w:spacing w:before="0" w:beforeAutospacing="0" w:after="0" w:afterAutospacing="0"/>
                    <w:ind w:left="0" w:right="0"/>
                    <w:jc w:val="center"/>
                    <w:rPr>
                      <w:rFonts w:hint="eastAsia"/>
                      <w:bCs/>
                      <w:color w:val="auto"/>
                      <w:szCs w:val="21"/>
                      <w:vertAlign w:val="superscript"/>
                    </w:rPr>
                  </w:pPr>
                  <w:r>
                    <w:rPr>
                      <w:rFonts w:hint="eastAsia"/>
                      <w:bCs/>
                      <w:color w:val="auto"/>
                      <w:szCs w:val="21"/>
                    </w:rPr>
                    <w:t>ngTEQ/m</w:t>
                  </w:r>
                  <w:r>
                    <w:rPr>
                      <w:rFonts w:hint="eastAsia"/>
                      <w:bCs/>
                      <w:color w:val="auto"/>
                      <w:szCs w:val="21"/>
                      <w:vertAlign w:val="superscript"/>
                    </w:rPr>
                    <w:t>3</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标干烟气量</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Nm</w:t>
                  </w:r>
                  <w:r>
                    <w:rPr>
                      <w:rFonts w:hint="eastAsia"/>
                      <w:bCs/>
                      <w:color w:val="auto"/>
                      <w:szCs w:val="21"/>
                      <w:vertAlign w:val="superscript"/>
                    </w:rPr>
                    <w:t>3</w:t>
                  </w:r>
                  <w:r>
                    <w:rPr>
                      <w:rFonts w:hint="eastAsia"/>
                      <w:bCs/>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1#焚烧炉</w:t>
                  </w:r>
                </w:p>
              </w:tc>
              <w:tc>
                <w:tcPr>
                  <w:tcW w:w="585"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2020.</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6.29</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44.0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9.90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75</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240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135</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0.61</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585"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2020.</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6.30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39.3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9.57</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74</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217</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138</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0.61</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2#焚烧炉</w:t>
                  </w:r>
                </w:p>
              </w:tc>
              <w:tc>
                <w:tcPr>
                  <w:tcW w:w="585"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2020.</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6.29</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43.7</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10.3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68</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195</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159</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0.28</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585"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2020.</w:t>
                  </w:r>
                </w:p>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6.30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40.1</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10.1</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70</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253</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170</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0.19</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5"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平均值</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41.8</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9.97</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71.8</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226.2</w:t>
                  </w:r>
                </w:p>
              </w:tc>
              <w:tc>
                <w:tcPr>
                  <w:tcW w:w="544"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150.5</w:t>
                  </w:r>
                </w:p>
              </w:tc>
              <w:tc>
                <w:tcPr>
                  <w:tcW w:w="67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0.42</w:t>
                  </w:r>
                </w:p>
              </w:tc>
              <w:tc>
                <w:tcPr>
                  <w:tcW w:w="593"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4456</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本项目遗物祭品焚烧炉单独配一套与火化机同方案的环保设施，采用急冷装置+半干法脱硫+活性炭喷射+布袋除尘器+活性炭吸附组合方案，遗物祭品焚烧炉烟气经烟气处理设施净化后由12m高排气筒（DA004）外排。</w:t>
            </w:r>
          </w:p>
          <w:p>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综合以上分析，在采取以上烟气治理措施的条件下，同时考虑管理水平，设备水平，燃料含硫量，运行工况的不同，遗物祭品焚烧炉烟气中烟尘排放浓度以40mg/m</w:t>
            </w:r>
            <w:r>
              <w:rPr>
                <w:rFonts w:hint="eastAsia"/>
                <w:bCs/>
                <w:color w:val="auto"/>
                <w:sz w:val="24"/>
                <w:vertAlign w:val="superscript"/>
              </w:rPr>
              <w:t>3</w:t>
            </w:r>
            <w:r>
              <w:rPr>
                <w:rFonts w:hint="eastAsia"/>
                <w:bCs/>
                <w:color w:val="auto"/>
                <w:sz w:val="24"/>
              </w:rPr>
              <w:t>计，SO</w:t>
            </w:r>
            <w:r>
              <w:rPr>
                <w:rFonts w:hint="eastAsia"/>
                <w:bCs/>
                <w:color w:val="auto"/>
                <w:sz w:val="24"/>
                <w:vertAlign w:val="subscript"/>
              </w:rPr>
              <w:t>2</w:t>
            </w:r>
            <w:r>
              <w:rPr>
                <w:rFonts w:hint="eastAsia"/>
                <w:bCs/>
                <w:color w:val="auto"/>
                <w:sz w:val="24"/>
              </w:rPr>
              <w:t>排放浓度以70mg/m</w:t>
            </w:r>
            <w:r>
              <w:rPr>
                <w:rFonts w:hint="eastAsia"/>
                <w:bCs/>
                <w:color w:val="auto"/>
                <w:sz w:val="24"/>
                <w:vertAlign w:val="superscript"/>
              </w:rPr>
              <w:t>3</w:t>
            </w:r>
            <w:r>
              <w:rPr>
                <w:rFonts w:hint="eastAsia"/>
                <w:bCs/>
                <w:color w:val="auto"/>
                <w:sz w:val="24"/>
              </w:rPr>
              <w:t>计，NO</w:t>
            </w:r>
            <w:r>
              <w:rPr>
                <w:rFonts w:hint="eastAsia"/>
                <w:bCs/>
                <w:color w:val="auto"/>
                <w:sz w:val="24"/>
                <w:vertAlign w:val="subscript"/>
              </w:rPr>
              <w:t>x</w:t>
            </w:r>
            <w:r>
              <w:rPr>
                <w:rFonts w:hint="eastAsia"/>
                <w:bCs/>
                <w:color w:val="auto"/>
                <w:sz w:val="24"/>
              </w:rPr>
              <w:t>排放浓度以220mg/m</w:t>
            </w:r>
            <w:r>
              <w:rPr>
                <w:rFonts w:hint="eastAsia"/>
                <w:bCs/>
                <w:color w:val="auto"/>
                <w:sz w:val="24"/>
                <w:vertAlign w:val="superscript"/>
              </w:rPr>
              <w:t>3</w:t>
            </w:r>
            <w:r>
              <w:rPr>
                <w:rFonts w:hint="eastAsia"/>
                <w:bCs/>
                <w:color w:val="auto"/>
                <w:sz w:val="24"/>
              </w:rPr>
              <w:t>计，CO排放浓度以150mg/m</w:t>
            </w:r>
            <w:r>
              <w:rPr>
                <w:rFonts w:hint="eastAsia"/>
                <w:bCs/>
                <w:color w:val="auto"/>
                <w:sz w:val="24"/>
                <w:vertAlign w:val="superscript"/>
              </w:rPr>
              <w:t>3</w:t>
            </w:r>
            <w:r>
              <w:rPr>
                <w:rFonts w:hint="eastAsia"/>
                <w:bCs/>
                <w:color w:val="auto"/>
                <w:sz w:val="24"/>
              </w:rPr>
              <w:t>计，HCl排放浓度以10mg/m</w:t>
            </w:r>
            <w:r>
              <w:rPr>
                <w:rFonts w:hint="eastAsia"/>
                <w:bCs/>
                <w:color w:val="auto"/>
                <w:sz w:val="24"/>
                <w:vertAlign w:val="superscript"/>
              </w:rPr>
              <w:t>3</w:t>
            </w:r>
            <w:r>
              <w:rPr>
                <w:rFonts w:hint="eastAsia"/>
                <w:bCs/>
                <w:color w:val="auto"/>
                <w:sz w:val="24"/>
              </w:rPr>
              <w:t>计，二噁英排放浓度以0.5mg/m</w:t>
            </w:r>
            <w:r>
              <w:rPr>
                <w:rFonts w:hint="eastAsia"/>
                <w:bCs/>
                <w:color w:val="auto"/>
                <w:sz w:val="24"/>
                <w:vertAlign w:val="superscript"/>
              </w:rPr>
              <w:t>3</w:t>
            </w:r>
            <w:r>
              <w:rPr>
                <w:rFonts w:hint="eastAsia"/>
                <w:bCs/>
                <w:color w:val="auto"/>
                <w:sz w:val="24"/>
              </w:rPr>
              <w:t>计，废气量以5000Nm</w:t>
            </w:r>
            <w:r>
              <w:rPr>
                <w:rFonts w:hint="eastAsia"/>
                <w:bCs/>
                <w:color w:val="auto"/>
                <w:sz w:val="24"/>
                <w:vertAlign w:val="superscript"/>
              </w:rPr>
              <w:t>3</w:t>
            </w:r>
            <w:r>
              <w:rPr>
                <w:rFonts w:hint="eastAsia"/>
                <w:bCs/>
                <w:color w:val="auto"/>
                <w:sz w:val="24"/>
              </w:rPr>
              <w:t>/h计；本项目遗物祭品焚烧炉烟气排放情况见下表。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9</w:t>
            </w:r>
            <w:r>
              <w:rPr>
                <w:rFonts w:hint="eastAsia" w:ascii="黑体" w:hAnsi="黑体" w:eastAsia="黑体"/>
                <w:bCs/>
                <w:color w:val="auto"/>
                <w:sz w:val="24"/>
              </w:rPr>
              <w:t xml:space="preserve">  本项目遗物祭品焚烧炉烟气排放情况一览表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49"/>
              <w:gridCol w:w="1383"/>
              <w:gridCol w:w="1381"/>
              <w:gridCol w:w="1292"/>
              <w:gridCol w:w="1292"/>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污染源</w:t>
                  </w:r>
                </w:p>
              </w:tc>
              <w:tc>
                <w:tcPr>
                  <w:tcW w:w="672"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废气量m</w:t>
                  </w:r>
                  <w:r>
                    <w:rPr>
                      <w:rFonts w:hint="eastAsia"/>
                      <w:color w:val="auto"/>
                      <w:szCs w:val="21"/>
                      <w:vertAlign w:val="superscript"/>
                    </w:rPr>
                    <w:t>3</w:t>
                  </w:r>
                  <w:r>
                    <w:rPr>
                      <w:rFonts w:hint="eastAsia"/>
                      <w:color w:val="auto"/>
                      <w:szCs w:val="21"/>
                    </w:rPr>
                    <w:t>/h</w:t>
                  </w:r>
                </w:p>
              </w:tc>
              <w:tc>
                <w:tcPr>
                  <w:tcW w:w="80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污染物名称</w:t>
                  </w:r>
                </w:p>
              </w:tc>
              <w:tc>
                <w:tcPr>
                  <w:tcW w:w="80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排放浓度</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mg/m</w:t>
                  </w:r>
                  <w:r>
                    <w:rPr>
                      <w:rFonts w:hint="eastAsia"/>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排放标准</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排放速率</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kg/h</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排放量</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遗物祭品焚烧烟气排气筒DA004</w:t>
                  </w:r>
                </w:p>
              </w:tc>
              <w:tc>
                <w:tcPr>
                  <w:tcW w:w="672" w:type="pct"/>
                  <w:vMerge w:val="restar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5000</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(年排放</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时间1460h/a)</w:t>
                  </w: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烟尘</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40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80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0.2</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SO</w:t>
                  </w:r>
                  <w:r>
                    <w:rPr>
                      <w:rFonts w:hint="eastAsia"/>
                      <w:b w:val="0"/>
                      <w:bCs/>
                      <w:color w:val="auto"/>
                      <w:szCs w:val="21"/>
                      <w:vertAlign w:val="subscript"/>
                    </w:rPr>
                    <w:t>2</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70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100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0.35</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NO</w:t>
                  </w:r>
                  <w:r>
                    <w:rPr>
                      <w:rFonts w:hint="eastAsia"/>
                      <w:b w:val="0"/>
                      <w:bCs/>
                      <w:color w:val="auto"/>
                      <w:szCs w:val="21"/>
                      <w:vertAlign w:val="subscript"/>
                    </w:rPr>
                    <w:t>X</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220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300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1.1</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CO</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150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0.75</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HCl</w:t>
                  </w:r>
                </w:p>
              </w:tc>
              <w:tc>
                <w:tcPr>
                  <w:tcW w:w="80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10</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50</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0.05</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672"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809" w:type="pct"/>
                  <w:vAlign w:val="center"/>
                </w:tcPr>
                <w:p>
                  <w:pPr>
                    <w:pStyle w:val="56"/>
                    <w:keepNext w:val="0"/>
                    <w:keepLines w:val="0"/>
                    <w:suppressLineNumbers w:val="0"/>
                    <w:spacing w:before="0" w:beforeAutospacing="0" w:after="0" w:afterAutospacing="0" w:line="240" w:lineRule="auto"/>
                    <w:ind w:left="0" w:right="0"/>
                    <w:rPr>
                      <w:rFonts w:hint="eastAsia"/>
                      <w:color w:val="auto"/>
                      <w:szCs w:val="21"/>
                    </w:rPr>
                  </w:pPr>
                  <w:r>
                    <w:rPr>
                      <w:rFonts w:hint="eastAsia"/>
                      <w:b w:val="0"/>
                      <w:bCs/>
                      <w:color w:val="auto"/>
                      <w:szCs w:val="21"/>
                    </w:rPr>
                    <w:t>二噁英类</w:t>
                  </w:r>
                </w:p>
              </w:tc>
              <w:tc>
                <w:tcPr>
                  <w:tcW w:w="808"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0.5</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ng TEQ/m</w:t>
                  </w:r>
                  <w:r>
                    <w:rPr>
                      <w:rFonts w:hint="eastAsia"/>
                      <w:bCs/>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1.0</w:t>
                  </w:r>
                  <w:r>
                    <w:rPr>
                      <w:rFonts w:hint="eastAsia"/>
                      <w:bCs/>
                      <w:color w:val="auto"/>
                      <w:szCs w:val="21"/>
                    </w:rPr>
                    <w:t xml:space="preserve"> ng</w:t>
                  </w:r>
                </w:p>
                <w:p>
                  <w:pPr>
                    <w:keepNext w:val="0"/>
                    <w:keepLines w:val="0"/>
                    <w:suppressLineNumbers w:val="0"/>
                    <w:spacing w:before="0" w:beforeAutospacing="0" w:after="0" w:afterAutospacing="0"/>
                    <w:ind w:left="0" w:right="0"/>
                    <w:jc w:val="center"/>
                    <w:rPr>
                      <w:rFonts w:hint="eastAsia"/>
                      <w:color w:val="auto"/>
                      <w:szCs w:val="21"/>
                    </w:rPr>
                  </w:pPr>
                  <w:r>
                    <w:rPr>
                      <w:rFonts w:hint="eastAsia"/>
                      <w:bCs/>
                      <w:color w:val="auto"/>
                      <w:szCs w:val="21"/>
                    </w:rPr>
                    <w:t>TEQ/m</w:t>
                  </w:r>
                  <w:r>
                    <w:rPr>
                      <w:rFonts w:hint="eastAsia"/>
                      <w:bCs/>
                      <w:color w:val="auto"/>
                      <w:szCs w:val="21"/>
                      <w:vertAlign w:val="superscript"/>
                    </w:rPr>
                    <w:t>3</w:t>
                  </w:r>
                </w:p>
              </w:tc>
              <w:tc>
                <w:tcPr>
                  <w:tcW w:w="756"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2500 ng</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TEQ/h</w:t>
                  </w:r>
                </w:p>
              </w:tc>
              <w:tc>
                <w:tcPr>
                  <w:tcW w:w="679" w:type="pct"/>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3.65</w:t>
                  </w:r>
                </w:p>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kern w:val="0"/>
                      <w:szCs w:val="21"/>
                      <w:lang w:bidi="ar"/>
                    </w:rPr>
                    <w:t>mg</w:t>
                  </w:r>
                  <w:r>
                    <w:rPr>
                      <w:rFonts w:hint="eastAsia"/>
                      <w:bCs/>
                      <w:color w:val="auto"/>
                      <w:szCs w:val="21"/>
                    </w:rPr>
                    <w:t>TEQ/a</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遗物祭品焚烧间配备1台遗物祭品焚烧炉，燃料采用0#-30#轻质柴油；遗物祭品焚烧炉单独配置一套废气处理设施+1根12m高排气筒。尾气处理设施采取急冷装置+半干法脱硫+活性炭喷射+布袋除尘器+活性炭吸附组合方案，遗体火化烟气经尾气处理设施净化后由12m高排气筒（DA004）外排；烟气中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、CO、HCl、二噁英类的排放浓度可满足《火葬场大气污染物排放标准》（GB13801-2015）中表3遗物祭品焚烧大气污染物排放限值要求；其中烟尘排放量为0.292t/a，SO</w:t>
            </w:r>
            <w:r>
              <w:rPr>
                <w:rFonts w:hint="eastAsia"/>
                <w:bCs/>
                <w:color w:val="auto"/>
                <w:sz w:val="24"/>
                <w:vertAlign w:val="subscript"/>
              </w:rPr>
              <w:t>2</w:t>
            </w:r>
            <w:r>
              <w:rPr>
                <w:rFonts w:hint="eastAsia"/>
                <w:bCs/>
                <w:color w:val="auto"/>
                <w:sz w:val="24"/>
              </w:rPr>
              <w:t>排放量为0.511t/a，NO</w:t>
            </w:r>
            <w:r>
              <w:rPr>
                <w:rFonts w:hint="eastAsia"/>
                <w:bCs/>
                <w:color w:val="auto"/>
                <w:sz w:val="24"/>
                <w:vertAlign w:val="subscript"/>
              </w:rPr>
              <w:t>x</w:t>
            </w:r>
            <w:r>
              <w:rPr>
                <w:rFonts w:hint="eastAsia"/>
                <w:bCs/>
                <w:color w:val="auto"/>
                <w:sz w:val="24"/>
              </w:rPr>
              <w:t>排放量为1.606 t/a，CO排放量为1.095t/a，HCl排放量为0.073t/a，二噁英类排放量为3.65</w:t>
            </w:r>
            <w:r>
              <w:rPr>
                <w:rFonts w:hint="eastAsia"/>
                <w:color w:val="auto"/>
                <w:kern w:val="0"/>
                <w:szCs w:val="21"/>
                <w:lang w:bidi="ar"/>
              </w:rPr>
              <w:t xml:space="preserve"> </w:t>
            </w:r>
            <w:r>
              <w:rPr>
                <w:rFonts w:hint="eastAsia"/>
                <w:bCs/>
                <w:color w:val="auto"/>
                <w:sz w:val="24"/>
              </w:rPr>
              <w:t>mgTEQ/a。</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rPr>
              <w:t>3</w:t>
            </w:r>
            <w:r>
              <w:rPr>
                <w:rFonts w:hint="eastAsia"/>
                <w:b/>
                <w:bCs/>
                <w:color w:val="auto"/>
                <w:sz w:val="24"/>
              </w:rPr>
              <w:t>：汽车尾气</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本项目不设地下停车场，地面设停车位</w:t>
            </w:r>
            <w:r>
              <w:rPr>
                <w:rFonts w:hint="eastAsia"/>
                <w:bCs/>
                <w:color w:val="auto"/>
                <w:sz w:val="24"/>
                <w:lang w:val="en-US" w:eastAsia="zh-CN"/>
              </w:rPr>
              <w:t>53</w:t>
            </w:r>
            <w:r>
              <w:rPr>
                <w:rFonts w:hint="eastAsia"/>
                <w:bCs/>
                <w:color w:val="auto"/>
                <w:sz w:val="24"/>
              </w:rPr>
              <w:t>个（小车停车位</w:t>
            </w:r>
            <w:r>
              <w:rPr>
                <w:rFonts w:hint="eastAsia"/>
                <w:bCs/>
                <w:color w:val="auto"/>
                <w:sz w:val="24"/>
                <w:lang w:val="en-US" w:eastAsia="zh-CN"/>
              </w:rPr>
              <w:t>50</w:t>
            </w:r>
            <w:r>
              <w:rPr>
                <w:rFonts w:hint="eastAsia"/>
                <w:bCs/>
                <w:color w:val="auto"/>
                <w:sz w:val="24"/>
              </w:rPr>
              <w:t>个，大巴车停车位</w:t>
            </w:r>
            <w:r>
              <w:rPr>
                <w:rFonts w:hint="eastAsia"/>
                <w:bCs/>
                <w:color w:val="auto"/>
                <w:sz w:val="24"/>
                <w:lang w:val="en-US" w:eastAsia="zh-CN"/>
              </w:rPr>
              <w:t>3</w:t>
            </w:r>
            <w:r>
              <w:rPr>
                <w:rFonts w:hint="eastAsia"/>
                <w:bCs/>
                <w:color w:val="auto"/>
                <w:sz w:val="24"/>
              </w:rPr>
              <w:t>个）。汽车在项目区内行驶以及出入停车场怠速和慢速行驶时会产生汽车尾气污染，该尾气包括排气管尾气、曲轴箱漏气及油箱和化油器等燃料系统的泄漏气等，主要污染因子为CO、THC、NO</w:t>
            </w:r>
            <w:r>
              <w:rPr>
                <w:rFonts w:hint="eastAsia"/>
                <w:bCs/>
                <w:color w:val="auto"/>
                <w:sz w:val="24"/>
                <w:vertAlign w:val="subscript"/>
              </w:rPr>
              <w:t>x</w:t>
            </w:r>
            <w:r>
              <w:rPr>
                <w:rFonts w:hint="eastAsia"/>
                <w:bCs/>
                <w:color w:val="auto"/>
                <w:sz w:val="24"/>
              </w:rPr>
              <w:t>等，其排放量与车型、车况和车辆数等有关，还与汽车行驶状况有关。项目运营期出入车辆以轿车为主，无大型运载车辆出入，汽车尾气产生较少，同时地面停车场分布范围较广，产生的汽车尾气易自然扩散，本环评不进行量化分析。</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rPr>
              <w:t>4</w:t>
            </w:r>
            <w:r>
              <w:rPr>
                <w:rFonts w:hint="eastAsia"/>
                <w:b/>
                <w:bCs/>
                <w:color w:val="auto"/>
                <w:sz w:val="24"/>
              </w:rPr>
              <w:t>：备用发电机废气</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拟设1台150KW的备用发电机组，以备停电时，供重要设备供电。根据调查，该地区的供电比较正常，因此备用柴油发电机的启动次数不多，每个月工作时间不超过8小时，全年工作时间不超过96小时。参考康明斯系列J100PMS（功率为150kw）柴油发电机，该柴油发电机其标定工况下的油耗为200-210g/kw·h之间，本项目取中间值205g/kw·h，则本项目备用发电机最大柴油消耗量为1.97t/a。由于备用柴油发电机使用次数少，耗油量</w:t>
            </w:r>
            <w:r>
              <w:rPr>
                <w:rFonts w:hint="eastAsia"/>
                <w:bCs/>
                <w:color w:val="auto"/>
                <w:sz w:val="24"/>
                <w:lang w:val="en-US" w:eastAsia="zh-CN"/>
              </w:rPr>
              <w:t>低</w:t>
            </w:r>
            <w:r>
              <w:rPr>
                <w:rFonts w:hint="eastAsia"/>
                <w:bCs/>
                <w:color w:val="auto"/>
                <w:sz w:val="24"/>
              </w:rPr>
              <w:t>，使用频率具有不确定性，项目正常运营的情况下基本不会启用（除维护保养时短时间启动），产生的少量发电机烟气经自带烟气净化装置处理后经专用排烟风井引至屋顶排放，对大气环境影响较小，本环评不进行量化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柴油发电机自带烟气净化装置为三元催化器，三元催化器可将柴油发电机尾气排出的CO、HC和NOx等有害气体通过氧化和还原作用转变为无害的二氧化碳、水和氮气。当高温的柴油发电机尾气通过净化装置时，三元催化器中的净化剂将增强CO、HC和NOx三种气体的活性，促使其进行一定的氧化-还原化学反应，其中CO在高温下氧化成为无色、无毒的</w:t>
            </w:r>
            <w:r>
              <w:rPr>
                <w:rFonts w:hint="eastAsia"/>
                <w:bCs/>
                <w:color w:val="auto"/>
                <w:sz w:val="24"/>
                <w:lang w:val="en-US" w:eastAsia="zh-CN"/>
              </w:rPr>
              <w:t>CO</w:t>
            </w:r>
            <w:r>
              <w:rPr>
                <w:rFonts w:hint="eastAsia"/>
                <w:bCs/>
                <w:color w:val="auto"/>
                <w:sz w:val="24"/>
                <w:vertAlign w:val="subscript"/>
                <w:lang w:val="en-US" w:eastAsia="zh-CN"/>
              </w:rPr>
              <w:t>2</w:t>
            </w:r>
            <w:r>
              <w:rPr>
                <w:rFonts w:hint="eastAsia"/>
                <w:bCs/>
                <w:color w:val="auto"/>
                <w:sz w:val="24"/>
              </w:rPr>
              <w:t>气体；HC化合物在高温下氧化成水(H</w:t>
            </w:r>
            <w:r>
              <w:rPr>
                <w:rFonts w:hint="eastAsia"/>
                <w:bCs/>
                <w:color w:val="auto"/>
                <w:sz w:val="24"/>
                <w:vertAlign w:val="subscript"/>
              </w:rPr>
              <w:t>2</w:t>
            </w:r>
            <w:r>
              <w:rPr>
                <w:rFonts w:hint="eastAsia"/>
                <w:bCs/>
                <w:color w:val="auto"/>
                <w:sz w:val="24"/>
                <w:lang w:val="en-US" w:eastAsia="zh-CN"/>
              </w:rPr>
              <w:t>O</w:t>
            </w:r>
            <w:r>
              <w:rPr>
                <w:rFonts w:hint="eastAsia"/>
                <w:bCs/>
                <w:color w:val="auto"/>
                <w:sz w:val="24"/>
              </w:rPr>
              <w:t>)和二氧化碳；NOx还原成氮气和氧气。三种有害气体变成无害气体，使柴油发电机尾气得以净化。</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rPr>
              <w:t>5</w:t>
            </w:r>
            <w:r>
              <w:rPr>
                <w:rFonts w:hint="eastAsia"/>
                <w:b/>
                <w:bCs/>
                <w:color w:val="auto"/>
                <w:sz w:val="24"/>
              </w:rPr>
              <w:t>：遗体火化、污水处理站及生活垃圾产生的恶臭污染物</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本项目恶臭污染物主要产生于项目</w:t>
            </w:r>
            <w:r>
              <w:rPr>
                <w:rFonts w:hint="eastAsia"/>
                <w:color w:val="auto"/>
                <w:sz w:val="24"/>
              </w:rPr>
              <w:t>遗体火化、污水处理站及生活垃圾存放；其中遗体火化产生的恶臭污染物经二燃室燃烧分解，排放量较少；项目</w:t>
            </w:r>
            <w:r>
              <w:rPr>
                <w:rFonts w:hint="eastAsia"/>
                <w:bCs/>
                <w:color w:val="auto"/>
                <w:sz w:val="24"/>
              </w:rPr>
              <w:t>自建的一座污水处理站及垃圾中转站，污水处理站运行过程中伴随微生物、原生动物、菌团等生物的新陈代谢会产生一定的恶臭，废气中污染物主要是NH</w:t>
            </w:r>
            <w:r>
              <w:rPr>
                <w:rFonts w:hint="eastAsia"/>
                <w:bCs/>
                <w:color w:val="auto"/>
                <w:sz w:val="24"/>
                <w:vertAlign w:val="subscript"/>
              </w:rPr>
              <w:t>3</w:t>
            </w:r>
            <w:r>
              <w:rPr>
                <w:rFonts w:hint="eastAsia"/>
                <w:bCs/>
                <w:color w:val="auto"/>
                <w:sz w:val="24"/>
              </w:rPr>
              <w:t>、H</w:t>
            </w:r>
            <w:r>
              <w:rPr>
                <w:rFonts w:hint="eastAsia"/>
                <w:bCs/>
                <w:color w:val="auto"/>
                <w:sz w:val="24"/>
                <w:vertAlign w:val="subscript"/>
              </w:rPr>
              <w:t>2</w:t>
            </w:r>
            <w:r>
              <w:rPr>
                <w:rFonts w:hint="eastAsia"/>
                <w:bCs/>
                <w:color w:val="auto"/>
                <w:sz w:val="24"/>
              </w:rPr>
              <w:t>S及甲烷（CH</w:t>
            </w:r>
            <w:r>
              <w:rPr>
                <w:rFonts w:hint="eastAsia"/>
                <w:bCs/>
                <w:color w:val="auto"/>
                <w:sz w:val="24"/>
                <w:vertAlign w:val="subscript"/>
              </w:rPr>
              <w:t>4</w:t>
            </w:r>
            <w:r>
              <w:rPr>
                <w:rFonts w:hint="eastAsia"/>
                <w:bCs/>
                <w:color w:val="auto"/>
                <w:sz w:val="24"/>
              </w:rPr>
              <w:t>），其恶臭产生量受污水量、BOD</w:t>
            </w:r>
            <w:r>
              <w:rPr>
                <w:rFonts w:hint="eastAsia"/>
                <w:bCs/>
                <w:color w:val="auto"/>
                <w:sz w:val="24"/>
                <w:vertAlign w:val="subscript"/>
              </w:rPr>
              <w:t>5</w:t>
            </w:r>
            <w:r>
              <w:rPr>
                <w:rFonts w:hint="eastAsia"/>
                <w:bCs/>
                <w:color w:val="auto"/>
                <w:sz w:val="24"/>
              </w:rPr>
              <w:t>负荷、COD、污泥量及堆存量、气象特征等因素影响较大。本项目采用地埋式一体化污水处理设备为全过程封闭式的污水处理工艺，有效抑制了污水恶臭向外环境的散发，恶臭逸出量少，以无组织形式排放；同时环评要求建设单位定期向站房及污水处理站周边喷洒生物除臭剂，可有效抑制恶臭向外环境排放。垃圾站主要堆放、中转生活垃圾，高温天气下堆积的生活垃圾会产生恶臭，主要为H</w:t>
            </w:r>
            <w:r>
              <w:rPr>
                <w:rFonts w:hint="eastAsia"/>
                <w:bCs/>
                <w:color w:val="auto"/>
                <w:sz w:val="24"/>
                <w:vertAlign w:val="subscript"/>
              </w:rPr>
              <w:t>2</w:t>
            </w:r>
            <w:r>
              <w:rPr>
                <w:rFonts w:hint="eastAsia"/>
                <w:bCs/>
                <w:color w:val="auto"/>
                <w:sz w:val="24"/>
              </w:rPr>
              <w:t>S和NH</w:t>
            </w:r>
            <w:r>
              <w:rPr>
                <w:rFonts w:hint="eastAsia"/>
                <w:bCs/>
                <w:color w:val="auto"/>
                <w:sz w:val="24"/>
                <w:vertAlign w:val="subscript"/>
              </w:rPr>
              <w:t>3</w:t>
            </w:r>
            <w:r>
              <w:rPr>
                <w:rFonts w:hint="eastAsia"/>
                <w:bCs/>
                <w:color w:val="auto"/>
                <w:sz w:val="24"/>
              </w:rPr>
              <w:t>，管理人员要定期清理生活垃圾，交由环卫部门处理；减少垃圾的存放时间，减少恶臭物质排放。</w:t>
            </w:r>
          </w:p>
          <w:p>
            <w:pPr>
              <w:keepNext w:val="0"/>
              <w:keepLines w:val="0"/>
              <w:suppressLineNumbers w:val="0"/>
              <w:adjustRightInd w:val="0"/>
              <w:snapToGrid w:val="0"/>
              <w:spacing w:before="0" w:beforeAutospacing="0" w:after="0" w:afterAutospacing="0" w:line="480" w:lineRule="exact"/>
              <w:ind w:left="0" w:right="0" w:firstLine="482" w:firstLineChars="200"/>
              <w:rPr>
                <w:rFonts w:hint="default" w:eastAsia="宋体"/>
                <w:b/>
                <w:bCs/>
                <w:color w:val="auto"/>
                <w:sz w:val="24"/>
                <w:lang w:val="en-US" w:eastAsia="zh-CN"/>
              </w:rPr>
            </w:pPr>
            <w:r>
              <w:rPr>
                <w:rFonts w:hint="eastAsia"/>
                <w:b/>
                <w:bCs/>
                <w:color w:val="auto"/>
                <w:sz w:val="24"/>
              </w:rPr>
              <w:t>G</w:t>
            </w:r>
            <w:r>
              <w:rPr>
                <w:rFonts w:hint="eastAsia"/>
                <w:b/>
                <w:bCs/>
                <w:color w:val="auto"/>
                <w:sz w:val="24"/>
                <w:vertAlign w:val="subscript"/>
                <w:lang w:val="en-US" w:eastAsia="zh-CN"/>
              </w:rPr>
              <w:t>6</w:t>
            </w:r>
            <w:r>
              <w:rPr>
                <w:rFonts w:hint="eastAsia"/>
                <w:b/>
                <w:bCs/>
                <w:color w:val="auto"/>
                <w:sz w:val="24"/>
              </w:rPr>
              <w:t>：</w:t>
            </w:r>
            <w:r>
              <w:rPr>
                <w:rFonts w:hint="eastAsia"/>
                <w:b/>
                <w:bCs/>
                <w:color w:val="auto"/>
                <w:sz w:val="24"/>
                <w:lang w:val="en-US" w:eastAsia="zh-CN"/>
              </w:rPr>
              <w:t>柴油储罐废气</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color w:val="auto"/>
                <w:sz w:val="24"/>
              </w:rPr>
              <w:t>本项目拟设置3台燃油火化机，</w:t>
            </w:r>
            <w:r>
              <w:rPr>
                <w:rFonts w:hint="eastAsia"/>
                <w:bCs/>
                <w:color w:val="auto"/>
                <w:sz w:val="24"/>
              </w:rPr>
              <w:t>年最大服务能力为火化2190具遗体，每台火化机以每日火化两具遗体计。</w:t>
            </w:r>
            <w:r>
              <w:rPr>
                <w:rFonts w:hint="eastAsia"/>
                <w:color w:val="auto"/>
                <w:sz w:val="24"/>
              </w:rPr>
              <w:t>环评主要原辅材料及能源消耗以项目最高年服务能力计，即年火化遗体2190具；遗体火化耗油量平均约为40升/具（柴油密度以0.84计算），则遗体火化柴油年消耗量为73.6t；备用发电机最大年消耗柴油为2t</w:t>
            </w:r>
            <w:r>
              <w:rPr>
                <w:rFonts w:hint="eastAsia"/>
                <w:color w:val="auto"/>
                <w:sz w:val="24"/>
                <w:lang w:eastAsia="zh-CN"/>
              </w:rPr>
              <w:t>；</w:t>
            </w:r>
            <w:r>
              <w:rPr>
                <w:rFonts w:hint="eastAsia"/>
                <w:color w:val="auto"/>
                <w:sz w:val="24"/>
                <w:lang w:val="en-US" w:eastAsia="zh-CN"/>
              </w:rPr>
              <w:t>则轻质柴油最大年消耗量为75.6t/a。</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US" w:eastAsia="zh-CN"/>
              </w:rPr>
              <w:t>本项目设置1台</w:t>
            </w:r>
            <w:r>
              <w:rPr>
                <w:rFonts w:hint="eastAsia"/>
                <w:bCs/>
                <w:color w:val="auto"/>
                <w:sz w:val="24"/>
              </w:rPr>
              <w:t>柴油储罐</w:t>
            </w:r>
            <w:r>
              <w:rPr>
                <w:rFonts w:hint="eastAsia"/>
                <w:bCs/>
                <w:color w:val="auto"/>
                <w:sz w:val="24"/>
                <w:lang w:eastAsia="zh-CN"/>
              </w:rPr>
              <w:t>，</w:t>
            </w:r>
            <w:r>
              <w:rPr>
                <w:rFonts w:hint="eastAsia"/>
                <w:bCs/>
                <w:color w:val="auto"/>
                <w:sz w:val="24"/>
              </w:rPr>
              <w:t>容量为10t，位于火化间的</w:t>
            </w:r>
            <w:r>
              <w:rPr>
                <w:rFonts w:hint="eastAsia"/>
                <w:bCs/>
                <w:color w:val="auto"/>
                <w:sz w:val="24"/>
                <w:lang w:val="en-US" w:eastAsia="zh-CN"/>
              </w:rPr>
              <w:t>西</w:t>
            </w:r>
            <w:r>
              <w:rPr>
                <w:rFonts w:hint="eastAsia"/>
                <w:bCs/>
                <w:color w:val="auto"/>
                <w:sz w:val="24"/>
              </w:rPr>
              <w:t>侧空地</w:t>
            </w:r>
            <w:r>
              <w:rPr>
                <w:rFonts w:hint="eastAsia"/>
                <w:bCs/>
                <w:color w:val="auto"/>
                <w:sz w:val="24"/>
                <w:lang w:eastAsia="zh-CN"/>
              </w:rPr>
              <w:t>，</w:t>
            </w:r>
            <w:r>
              <w:rPr>
                <w:rFonts w:hint="eastAsia"/>
                <w:bCs/>
                <w:color w:val="auto"/>
                <w:sz w:val="24"/>
                <w:lang w:val="en-US" w:eastAsia="zh-CN"/>
              </w:rPr>
              <w:t>为地下储罐，采用钢制强化玻璃纤维制双层结构，内层采用6mm厚的特种钢板制造，外层采用4mm厚的强化玻璃纤维层，同时储罐安装有24h在线检漏设施</w:t>
            </w:r>
            <w:r>
              <w:rPr>
                <w:rFonts w:hint="eastAsia"/>
                <w:bCs/>
                <w:color w:val="auto"/>
                <w:sz w:val="24"/>
                <w:lang w:eastAsia="zh-CN"/>
              </w:rPr>
              <w:t>、</w:t>
            </w:r>
            <w:r>
              <w:rPr>
                <w:rFonts w:hint="eastAsia"/>
                <w:bCs/>
                <w:color w:val="auto"/>
                <w:sz w:val="24"/>
              </w:rPr>
              <w:t>机械呼吸阀和阻火器。</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rPr>
              <w:t>柴油储罐机械呼吸阀是指既保证贮罐空间在一定压力范围内与大气隔绝、又能在超过或低于此压力范围时与大气相通(呼吸)的一种阀门</w:t>
            </w:r>
            <w:r>
              <w:rPr>
                <w:rFonts w:hint="eastAsia"/>
                <w:bCs/>
                <w:color w:val="auto"/>
                <w:sz w:val="24"/>
                <w:lang w:eastAsia="zh-CN"/>
              </w:rPr>
              <w:t>；</w:t>
            </w:r>
            <w:r>
              <w:rPr>
                <w:rFonts w:hint="eastAsia"/>
                <w:bCs/>
                <w:color w:val="auto"/>
                <w:sz w:val="24"/>
              </w:rPr>
              <w:t>其作用是防止贮罐因超压或真空导致破坏，同时可减少贮液的蒸发损失。</w:t>
            </w:r>
            <w:r>
              <w:rPr>
                <w:rFonts w:hint="eastAsia"/>
                <w:bCs/>
                <w:color w:val="auto"/>
                <w:sz w:val="24"/>
                <w:lang w:val="en-US" w:eastAsia="zh-CN"/>
              </w:rPr>
              <w:t>柴油储罐位于地下，温度变化幅度较小，安装有机械呼吸阀的情况下，储罐因小呼吸排放的污染物可以降到最低。同时，本项目轻质柴油使用量较小，储罐年周转次数约在9-10次；储罐因大呼吸排放的污染物较少；本次环评不进行量化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US" w:eastAsia="zh-CN"/>
              </w:rPr>
              <w:t>本项目轻质柴油使用量较小，通过设置地下柴油储罐，安装机械呼吸阀，可以从源头控制挥发性有机物的排放，符合环保要求。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G</w:t>
            </w:r>
            <w:r>
              <w:rPr>
                <w:rFonts w:hint="eastAsia"/>
                <w:b/>
                <w:bCs/>
                <w:color w:val="auto"/>
                <w:sz w:val="24"/>
                <w:vertAlign w:val="subscript"/>
                <w:lang w:val="en-US" w:eastAsia="zh-CN"/>
              </w:rPr>
              <w:t>7</w:t>
            </w:r>
            <w:r>
              <w:rPr>
                <w:rFonts w:hint="eastAsia"/>
                <w:b/>
                <w:bCs/>
                <w:color w:val="auto"/>
                <w:sz w:val="24"/>
              </w:rPr>
              <w:t>：非正常情况下废气排放</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在停电情况下，火化机燃烧设施及烟气处理设施将停止运行，遗体将继续燃烧一段时间；柴油发电机启动迅速，一般只需要几秒，在应急状态下加载1min内带全负荷，在正常工作状态约5-10min内带到全负荷；因此本项目非正常情况下废气排放取1min之内无烟气处理设施情况下的火化炉污染物排放作为非正常排污量</w:t>
            </w:r>
            <w:r>
              <w:rPr>
                <w:rFonts w:hint="eastAsia"/>
                <w:bCs/>
                <w:color w:val="auto"/>
                <w:sz w:val="24"/>
                <w:lang w:eastAsia="zh-CN"/>
              </w:rPr>
              <w:t>，</w:t>
            </w:r>
            <w:r>
              <w:rPr>
                <w:rFonts w:hint="eastAsia"/>
                <w:bCs/>
                <w:color w:val="auto"/>
                <w:sz w:val="24"/>
                <w:lang w:val="en-US" w:eastAsia="zh-CN"/>
              </w:rPr>
              <w:t>停电次数以1年10次计</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本项目火化炉烟气治理措施为“急冷装置+半干法脱硫+活性炭喷射+布袋除尘器+活性炭吸附”的组合方案；本套装置停止运行后，末端布袋除尘器对颗粒物依然有截留效果</w:t>
            </w:r>
            <w:r>
              <w:rPr>
                <w:rFonts w:hint="eastAsia"/>
                <w:bCs/>
                <w:color w:val="auto"/>
                <w:sz w:val="24"/>
                <w:lang w:eastAsia="zh-CN"/>
              </w:rPr>
              <w:t>，</w:t>
            </w:r>
            <w:r>
              <w:rPr>
                <w:rFonts w:hint="eastAsia"/>
                <w:bCs/>
                <w:color w:val="auto"/>
                <w:sz w:val="24"/>
                <w:lang w:val="en-US" w:eastAsia="zh-CN"/>
              </w:rPr>
              <w:t>末端活性炭吸附装置对污染物有一定的吸附效果</w:t>
            </w:r>
            <w:r>
              <w:rPr>
                <w:rFonts w:hint="eastAsia"/>
                <w:bCs/>
                <w:color w:val="auto"/>
                <w:sz w:val="24"/>
                <w:lang w:eastAsia="zh-CN"/>
              </w:rPr>
              <w:t>；</w:t>
            </w:r>
            <w:r>
              <w:rPr>
                <w:rFonts w:hint="eastAsia"/>
                <w:bCs/>
                <w:color w:val="auto"/>
                <w:sz w:val="24"/>
              </w:rPr>
              <w:t>本套装置对SO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、CO的处理效果较小（SO</w:t>
            </w:r>
            <w:r>
              <w:rPr>
                <w:rFonts w:hint="eastAsia"/>
                <w:bCs/>
                <w:color w:val="auto"/>
                <w:sz w:val="24"/>
                <w:vertAlign w:val="subscript"/>
              </w:rPr>
              <w:t>2</w:t>
            </w:r>
            <w:r>
              <w:rPr>
                <w:rFonts w:hint="eastAsia"/>
                <w:bCs/>
                <w:color w:val="auto"/>
                <w:sz w:val="24"/>
              </w:rPr>
              <w:t>浓度较低），因此其排放浓度与产生浓度基本相当</w:t>
            </w:r>
            <w:r>
              <w:rPr>
                <w:rFonts w:hint="eastAsia"/>
                <w:bCs/>
                <w:color w:val="auto"/>
                <w:sz w:val="24"/>
                <w:lang w:eastAsia="zh-CN"/>
              </w:rPr>
              <w:t>；</w:t>
            </w:r>
            <w:r>
              <w:rPr>
                <w:rFonts w:hint="eastAsia"/>
                <w:bCs/>
                <w:color w:val="auto"/>
                <w:sz w:val="24"/>
                <w:lang w:val="en-US" w:eastAsia="zh-CN"/>
              </w:rPr>
              <w:t>其中</w:t>
            </w:r>
            <w:r>
              <w:rPr>
                <w:rFonts w:hint="eastAsia"/>
                <w:bCs/>
                <w:color w:val="auto"/>
                <w:sz w:val="24"/>
              </w:rPr>
              <w:t>颗粒物</w:t>
            </w:r>
            <w:r>
              <w:rPr>
                <w:rFonts w:hint="eastAsia"/>
                <w:bCs/>
                <w:color w:val="auto"/>
                <w:sz w:val="24"/>
                <w:lang w:eastAsia="zh-CN"/>
              </w:rPr>
              <w:t>、</w:t>
            </w:r>
            <w:r>
              <w:rPr>
                <w:rFonts w:hint="eastAsia"/>
                <w:bCs/>
                <w:color w:val="auto"/>
                <w:sz w:val="24"/>
              </w:rPr>
              <w:t>SO</w:t>
            </w:r>
            <w:r>
              <w:rPr>
                <w:rFonts w:hint="eastAsia"/>
                <w:bCs/>
                <w:color w:val="auto"/>
                <w:sz w:val="24"/>
                <w:vertAlign w:val="subscript"/>
              </w:rPr>
              <w:t>2</w:t>
            </w:r>
            <w:r>
              <w:rPr>
                <w:rFonts w:hint="eastAsia"/>
                <w:bCs/>
                <w:color w:val="auto"/>
                <w:sz w:val="24"/>
              </w:rPr>
              <w:t>排放量有一定程度上涨；本套装置对HCl去除效率取80%，汞去除效率取80%，二噁英类去除效率取90%；装置停止运行后其排放浓度按产生浓度计。</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综上所述，本项目火化炉烟气治理措施因停电停止运行后，火化炉烟气中颗粒物排放浓度以30</w:t>
            </w:r>
            <w:r>
              <w:rPr>
                <w:rFonts w:hint="eastAsia"/>
                <w:color w:val="auto"/>
                <w:szCs w:val="21"/>
              </w:rPr>
              <w:t xml:space="preserve"> mg/m</w:t>
            </w:r>
            <w:r>
              <w:rPr>
                <w:rFonts w:hint="eastAsia"/>
                <w:color w:val="auto"/>
                <w:szCs w:val="21"/>
                <w:vertAlign w:val="superscript"/>
              </w:rPr>
              <w:t>3</w:t>
            </w:r>
            <w:r>
              <w:rPr>
                <w:rFonts w:hint="eastAsia"/>
                <w:bCs/>
                <w:color w:val="auto"/>
                <w:sz w:val="24"/>
              </w:rPr>
              <w:t>计，SO</w:t>
            </w:r>
            <w:r>
              <w:rPr>
                <w:rFonts w:hint="eastAsia"/>
                <w:bCs/>
                <w:color w:val="auto"/>
                <w:sz w:val="24"/>
                <w:vertAlign w:val="subscript"/>
              </w:rPr>
              <w:t>2</w:t>
            </w:r>
            <w:r>
              <w:rPr>
                <w:rFonts w:hint="eastAsia"/>
                <w:bCs/>
                <w:color w:val="auto"/>
                <w:sz w:val="24"/>
              </w:rPr>
              <w:t>排放浓度以30</w:t>
            </w:r>
            <w:r>
              <w:rPr>
                <w:rFonts w:hint="eastAsia"/>
                <w:color w:val="auto"/>
                <w:szCs w:val="21"/>
              </w:rPr>
              <w:t xml:space="preserve"> mg/m</w:t>
            </w:r>
            <w:r>
              <w:rPr>
                <w:rFonts w:hint="eastAsia"/>
                <w:color w:val="auto"/>
                <w:szCs w:val="21"/>
                <w:vertAlign w:val="superscript"/>
              </w:rPr>
              <w:t>3</w:t>
            </w:r>
            <w:r>
              <w:rPr>
                <w:rFonts w:hint="eastAsia"/>
                <w:bCs/>
                <w:color w:val="auto"/>
                <w:sz w:val="24"/>
              </w:rPr>
              <w:t>计，NO</w:t>
            </w:r>
            <w:r>
              <w:rPr>
                <w:rFonts w:hint="eastAsia"/>
                <w:bCs/>
                <w:color w:val="auto"/>
                <w:sz w:val="24"/>
                <w:vertAlign w:val="subscript"/>
              </w:rPr>
              <w:t>X</w:t>
            </w:r>
            <w:r>
              <w:rPr>
                <w:rFonts w:hint="eastAsia"/>
                <w:bCs/>
                <w:color w:val="auto"/>
                <w:sz w:val="24"/>
              </w:rPr>
              <w:t>排放浓度以150</w:t>
            </w:r>
            <w:r>
              <w:rPr>
                <w:rFonts w:hint="eastAsia"/>
                <w:color w:val="auto"/>
                <w:szCs w:val="21"/>
              </w:rPr>
              <w:t xml:space="preserve"> mg/m</w:t>
            </w:r>
            <w:r>
              <w:rPr>
                <w:rFonts w:hint="eastAsia"/>
                <w:color w:val="auto"/>
                <w:szCs w:val="21"/>
                <w:vertAlign w:val="superscript"/>
              </w:rPr>
              <w:t>3</w:t>
            </w:r>
            <w:r>
              <w:rPr>
                <w:rFonts w:hint="eastAsia"/>
                <w:bCs/>
                <w:color w:val="auto"/>
                <w:sz w:val="24"/>
              </w:rPr>
              <w:t>计，CO排放浓度以120</w:t>
            </w:r>
            <w:r>
              <w:rPr>
                <w:rFonts w:hint="eastAsia"/>
                <w:color w:val="auto"/>
                <w:szCs w:val="21"/>
              </w:rPr>
              <w:t xml:space="preserve"> mg/m</w:t>
            </w:r>
            <w:r>
              <w:rPr>
                <w:rFonts w:hint="eastAsia"/>
                <w:color w:val="auto"/>
                <w:szCs w:val="21"/>
                <w:vertAlign w:val="superscript"/>
              </w:rPr>
              <w:t>3</w:t>
            </w:r>
            <w:r>
              <w:rPr>
                <w:rFonts w:hint="eastAsia"/>
                <w:bCs/>
                <w:color w:val="auto"/>
                <w:sz w:val="24"/>
              </w:rPr>
              <w:t>计，HCl排放浓度以50</w:t>
            </w:r>
            <w:r>
              <w:rPr>
                <w:rFonts w:hint="eastAsia"/>
                <w:color w:val="auto"/>
                <w:szCs w:val="21"/>
              </w:rPr>
              <w:t xml:space="preserve"> mg/m</w:t>
            </w:r>
            <w:r>
              <w:rPr>
                <w:rFonts w:hint="eastAsia"/>
                <w:color w:val="auto"/>
                <w:szCs w:val="21"/>
                <w:vertAlign w:val="superscript"/>
              </w:rPr>
              <w:t>3</w:t>
            </w:r>
            <w:r>
              <w:rPr>
                <w:rFonts w:hint="eastAsia"/>
                <w:bCs/>
                <w:color w:val="auto"/>
                <w:sz w:val="24"/>
              </w:rPr>
              <w:t>计，汞排放浓度以0.4</w:t>
            </w:r>
            <w:r>
              <w:rPr>
                <w:rFonts w:hint="eastAsia"/>
                <w:color w:val="auto"/>
                <w:szCs w:val="21"/>
              </w:rPr>
              <w:t xml:space="preserve"> mg/m</w:t>
            </w:r>
            <w:r>
              <w:rPr>
                <w:rFonts w:hint="eastAsia"/>
                <w:color w:val="auto"/>
                <w:szCs w:val="21"/>
                <w:vertAlign w:val="superscript"/>
              </w:rPr>
              <w:t>3</w:t>
            </w:r>
            <w:r>
              <w:rPr>
                <w:rFonts w:hint="eastAsia"/>
                <w:bCs/>
                <w:color w:val="auto"/>
                <w:sz w:val="24"/>
              </w:rPr>
              <w:t>计，二噁英类排放浓度以0.41ng TEQ/m</w:t>
            </w:r>
            <w:r>
              <w:rPr>
                <w:rFonts w:hint="eastAsia"/>
                <w:bCs/>
                <w:color w:val="auto"/>
                <w:sz w:val="24"/>
                <w:vertAlign w:val="superscript"/>
              </w:rPr>
              <w:t>3</w:t>
            </w:r>
            <w:r>
              <w:rPr>
                <w:rFonts w:hint="eastAsia"/>
                <w:bCs/>
                <w:color w:val="auto"/>
                <w:sz w:val="24"/>
              </w:rPr>
              <w:t>计；非正常排放约为1min。</w:t>
            </w:r>
            <w:r>
              <w:rPr>
                <w:rFonts w:hint="eastAsia"/>
                <w:bCs/>
                <w:color w:val="auto"/>
                <w:sz w:val="24"/>
                <w:lang w:val="en-US" w:eastAsia="zh-CN"/>
              </w:rPr>
              <w:t>排放量为颗粒物0.003 kg/次，二氧化硫0.003 kg/次，氮氧化物0.015 kg/次，一氧化碳0.012 kg/次，氯化氢0.005 kg/次，汞0.00004 kg/次，二噁英类410 ng/次。</w:t>
            </w:r>
            <w:r>
              <w:rPr>
                <w:rFonts w:hint="eastAsia"/>
                <w:bCs/>
                <w:color w:val="auto"/>
                <w:sz w:val="24"/>
              </w:rPr>
              <w:t>环评要求建设单位对柴油发电机加强日常维护，加强培训演练，确保停电状态下柴油发电机可以快速启动。</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各污染防治设施设备的技术参数。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本项目3台节能环保火化机分别单独配置一套废气处理设施+1根12m高排气筒；共3套废气处理设施，3根12m高排气筒。烟气处理设施采用急冷装置+半干法脱硫+活性炭喷射+布袋除尘器</w:t>
            </w:r>
            <w:r>
              <w:rPr>
                <w:rFonts w:hint="eastAsia"/>
                <w:bCs/>
                <w:color w:val="auto"/>
                <w:sz w:val="24"/>
                <w:lang w:val="en-US" w:eastAsia="zh-CN"/>
              </w:rPr>
              <w:t>+活性炭吸附</w:t>
            </w:r>
            <w:r>
              <w:rPr>
                <w:rFonts w:hint="eastAsia"/>
                <w:bCs/>
                <w:color w:val="auto"/>
                <w:sz w:val="24"/>
              </w:rPr>
              <w:t>组合方案。遗物祭品焚烧炉单独配置一套废气处理设施+1根12m高排气筒。尾气处理设施采取急冷装置+半干法脱硫+活性炭喷射+布袋除尘器</w:t>
            </w:r>
            <w:r>
              <w:rPr>
                <w:rFonts w:hint="eastAsia"/>
                <w:bCs/>
                <w:color w:val="auto"/>
                <w:sz w:val="24"/>
                <w:lang w:val="en-US" w:eastAsia="zh-CN"/>
              </w:rPr>
              <w:t>+活性炭吸</w:t>
            </w:r>
            <w:r>
              <w:rPr>
                <w:rFonts w:hint="eastAsia"/>
                <w:bCs/>
                <w:color w:val="auto"/>
                <w:sz w:val="24"/>
              </w:rPr>
              <w:t>组合方案。各污染防治设施设备的技术参数见下表。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10</w:t>
            </w:r>
            <w:r>
              <w:rPr>
                <w:rFonts w:hint="eastAsia" w:ascii="黑体" w:hAnsi="黑体" w:eastAsia="黑体"/>
                <w:bCs/>
                <w:color w:val="auto"/>
                <w:sz w:val="24"/>
              </w:rPr>
              <w:t xml:space="preserve">  各污染防治设施设备的技术参数一览表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4824"/>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污染防治设施</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原理</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急冷装置</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具有一端为高温气体入口,另一端为气体出口的速冷筒体,第一段速冷筒体内并列设置有至少两条蛇形管,管内通有冷却介质(导热油),第二段速冷筒体内并列设置有直管,管内有冷却介质(水),850℃以上的高温气体(二噁英处于分解状态)在速冷筒体内与蛇形管及直管内的冷却介质进行热交换,在1S内冷却至二噁英再合成温度以下。</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装置包括速冷筒体，气体入口，气体出口，蛇形管，冷却介质，直管，冷却介质，导入口，导出口等，均为非标件。冷却循环水系统200m</w:t>
                  </w:r>
                  <w:r>
                    <w:rPr>
                      <w:rFonts w:hint="eastAsia"/>
                      <w:bCs/>
                      <w:color w:val="auto"/>
                      <w:szCs w:val="21"/>
                      <w:vertAlign w:val="superscript"/>
                    </w:rPr>
                    <w:t>3</w:t>
                  </w:r>
                  <w:r>
                    <w:rPr>
                      <w:rFonts w:hint="eastAsia"/>
                      <w:bCs/>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半干法脱硫装置</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烟气通过烟道进入吸收塔。此处高温烟气与加入的吸收剂，循环灰分充分混合，进行初步的脱硫反应。经过吸收塔底部的文丘里管加速，吸收剂、循环脱硫灰受到气流的冲击作用而悬浮起来，形成循环流化床，进行充分的脱硫反应。在这区域内流体处于激烈的的湍流状态，循环流化床内的Ca/S值可达到40-50，这是因为细小颗粒和烟气之间最大速差而决定的。颗粒反应界面不断摩擦，碰撞更新，极大地强化了脱硫反应的传质与传热。</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塔直径1m，有效高度3m；装置包括脱硫塔，消石灰调配仓，工艺水箱，流化风机，输送风机，</w:t>
                  </w:r>
                  <w:r>
                    <w:rPr>
                      <w:rFonts w:hint="eastAsia"/>
                      <w:bCs/>
                      <w:color w:val="auto"/>
                      <w:szCs w:val="21"/>
                      <w:lang w:val="en-US" w:eastAsia="zh-CN"/>
                    </w:rPr>
                    <w:t>6</w:t>
                  </w:r>
                  <w:r>
                    <w:rPr>
                      <w:rFonts w:hint="eastAsia"/>
                      <w:bCs/>
                      <w:color w:val="auto"/>
                      <w:szCs w:val="21"/>
                    </w:rPr>
                    <w:t>000m</w:t>
                  </w:r>
                  <w:r>
                    <w:rPr>
                      <w:rFonts w:hint="eastAsia"/>
                      <w:bCs/>
                      <w:color w:val="auto"/>
                      <w:szCs w:val="21"/>
                      <w:vertAlign w:val="superscript"/>
                    </w:rPr>
                    <w:t>3</w:t>
                  </w:r>
                  <w:r>
                    <w:rPr>
                      <w:rFonts w:hint="eastAsia"/>
                      <w:bCs/>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活性炭喷射装置</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吸附是烟气净化系统中处理二噁英及重金属的重要工艺，配合布袋除尘器，可以去除烟气中大部分的二噁英及重金属。烟气中二噁英以粒状、气溶胶或气态存在。利用活性炭巨大表面积和良好吸附性，可同时吸附固态及气态二噁英，再通过布袋拦截，可以去除烟气中大部分的二噁英。</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活性炭输送系统包含储存单元、输送单元及喷射单元，根据需要设计不同数量的输送单元。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布袋除尘器</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布袋除尘器的工作原理是含尘气流从下部孔板进入圆筒形滤袋内,在通过滤料的孔隙时,粉尘被捕集于滤料上,透过滤料的清洁气体由排出口排出。沉积在滤料上的粉尘,可在机械振动的作用下从滤料表面脱落,落入灰斗中。</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本项目布袋除尘器设计过滤风速0.8m/min，过滤面积125m</w:t>
                  </w:r>
                  <w:r>
                    <w:rPr>
                      <w:rFonts w:hint="eastAsia"/>
                      <w:bCs/>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活性炭吸附</w:t>
                  </w:r>
                </w:p>
              </w:tc>
              <w:tc>
                <w:tcPr>
                  <w:tcW w:w="4824"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是一种主要由含碳材料制成的外观呈黑色，内部孔隙结构发达、比表面积大、吸附能力强的一类微晶质碳素材料。活性炭材料中有大量肉眼看不见的微孔，1克活性炭材料中微孔，将其展开后表面积可高达800－1500平方米，特殊用途的更高。也就是说，在一个米粒大小的活性炭颗粒中，微孔的内表面积可能相当于一个客厅面积的大小。正是这些高度发达，如人体毛细血管般的孔隙结构，使活性炭拥有了优良的吸附性能</w:t>
                  </w:r>
                </w:p>
              </w:tc>
              <w:tc>
                <w:tcPr>
                  <w:tcW w:w="2430" w:type="dxa"/>
                  <w:vAlign w:val="center"/>
                </w:tcPr>
                <w:p>
                  <w:pPr>
                    <w:keepNext w:val="0"/>
                    <w:keepLines w:val="0"/>
                    <w:suppressLineNumbers w:val="0"/>
                    <w:adjustRightInd w:val="0"/>
                    <w:snapToGrid w:val="0"/>
                    <w:spacing w:before="0" w:beforeAutospacing="0" w:after="0" w:afterAutospacing="0"/>
                    <w:ind w:left="0" w:right="0"/>
                    <w:jc w:val="center"/>
                    <w:rPr>
                      <w:rFonts w:hint="eastAsia"/>
                      <w:bCs/>
                      <w:color w:val="auto"/>
                      <w:szCs w:val="21"/>
                    </w:rPr>
                  </w:pPr>
                  <w:r>
                    <w:rPr>
                      <w:rFonts w:hint="eastAsia"/>
                      <w:bCs/>
                      <w:color w:val="auto"/>
                      <w:szCs w:val="21"/>
                    </w:rPr>
                    <w:t>活性炭吸附箱内置蜂窝活性炭，填料量100kg</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szCs w:val="32"/>
              </w:rPr>
              <w:t>本项目大气污染物产排量汇总情况见下表。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11</w:t>
            </w:r>
            <w:r>
              <w:rPr>
                <w:rFonts w:hint="eastAsia" w:ascii="黑体" w:hAnsi="黑体" w:eastAsia="黑体"/>
                <w:bCs/>
                <w:color w:val="auto"/>
                <w:sz w:val="24"/>
              </w:rPr>
              <w:t xml:space="preserve">  本项目污染物产排量汇总情况表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50"/>
              <w:gridCol w:w="2664"/>
              <w:gridCol w:w="975"/>
              <w:gridCol w:w="1009"/>
              <w:gridCol w:w="1229"/>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bookmarkStart w:id="5" w:name="_Hlk14970184"/>
                  <w:r>
                    <w:rPr>
                      <w:rFonts w:hint="eastAsia"/>
                      <w:color w:val="auto"/>
                      <w:sz w:val="21"/>
                      <w:szCs w:val="21"/>
                    </w:rPr>
                    <w:t>污染源</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污染物</w:t>
                  </w:r>
                </w:p>
              </w:tc>
              <w:tc>
                <w:tcPr>
                  <w:tcW w:w="1558"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处理方式</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排放</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浓度mg/m</w:t>
                  </w:r>
                  <w:r>
                    <w:rPr>
                      <w:rFonts w:hint="eastAsia"/>
                      <w:color w:val="auto"/>
                      <w:sz w:val="21"/>
                      <w:szCs w:val="21"/>
                      <w:vertAlign w:val="superscript"/>
                    </w:rPr>
                    <w:t>3</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排放</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速率</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kg/h</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排放量</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t/a</w:t>
                  </w:r>
                </w:p>
              </w:tc>
              <w:tc>
                <w:tcPr>
                  <w:tcW w:w="551"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3台节能环保火化机</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烟尘</w:t>
                  </w:r>
                </w:p>
              </w:tc>
              <w:tc>
                <w:tcPr>
                  <w:tcW w:w="1558"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bCs/>
                      <w:color w:val="auto"/>
                      <w:sz w:val="21"/>
                      <w:szCs w:val="21"/>
                    </w:rPr>
                  </w:pPr>
                  <w:r>
                    <w:rPr>
                      <w:rFonts w:hint="eastAsia"/>
                      <w:bCs/>
                      <w:color w:val="auto"/>
                      <w:sz w:val="21"/>
                      <w:szCs w:val="21"/>
                    </w:rPr>
                    <w:t>3台节能环保火化机分别单独配置一套废气处理设施+1根12m高排气筒；共3套废气处理设施，3根排气筒。</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烟气净化采用急冷装置+半干法脱硫+活性炭喷射+布袋除尘器+活性炭吸附组合方案。</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20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0.36</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0.1971</w:t>
                  </w:r>
                </w:p>
              </w:tc>
              <w:tc>
                <w:tcPr>
                  <w:tcW w:w="551"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有组织</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3根12m高排气筒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SO</w:t>
                  </w:r>
                  <w:r>
                    <w:rPr>
                      <w:rFonts w:hint="eastAsia"/>
                      <w:bCs/>
                      <w:color w:val="auto"/>
                      <w:sz w:val="21"/>
                      <w:szCs w:val="21"/>
                      <w:vertAlign w:val="subscript"/>
                    </w:rPr>
                    <w:t>2</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15</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0.27</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0.1478</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NO</w:t>
                  </w:r>
                  <w:r>
                    <w:rPr>
                      <w:rFonts w:hint="eastAsia"/>
                      <w:bCs/>
                      <w:color w:val="auto"/>
                      <w:sz w:val="21"/>
                      <w:szCs w:val="21"/>
                      <w:vertAlign w:val="subscript"/>
                    </w:rPr>
                    <w:t>X</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150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2.7</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1.4782</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CO</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120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2.16</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1.1826</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HCl</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0.18</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0.0986</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汞</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0.08</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0.00144</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0.000788</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二噁英类</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0.41</w:t>
                  </w:r>
                  <w:r>
                    <w:rPr>
                      <w:rFonts w:hint="eastAsia"/>
                      <w:bCs/>
                      <w:color w:val="auto"/>
                      <w:sz w:val="21"/>
                      <w:szCs w:val="21"/>
                    </w:rPr>
                    <w:t>ng TEQ/m</w:t>
                  </w:r>
                  <w:r>
                    <w:rPr>
                      <w:rFonts w:hint="eastAsia"/>
                      <w:bCs/>
                      <w:color w:val="auto"/>
                      <w:sz w:val="21"/>
                      <w:szCs w:val="21"/>
                      <w:vertAlign w:val="superscript"/>
                    </w:rPr>
                    <w:t>3</w:t>
                  </w:r>
                </w:p>
              </w:tc>
              <w:tc>
                <w:tcPr>
                  <w:tcW w:w="590" w:type="pct"/>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7380 ng</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TEQ/h</w:t>
                  </w:r>
                </w:p>
              </w:tc>
              <w:tc>
                <w:tcPr>
                  <w:tcW w:w="719" w:type="pct"/>
                  <w:vAlign w:val="center"/>
                </w:tcPr>
                <w:p>
                  <w:pPr>
                    <w:keepNext w:val="0"/>
                    <w:keepLines w:val="0"/>
                    <w:suppressLineNumbers w:val="0"/>
                    <w:spacing w:before="0" w:beforeAutospacing="0" w:after="0" w:afterAutospacing="0"/>
                    <w:ind w:left="0" w:right="0"/>
                    <w:jc w:val="center"/>
                    <w:rPr>
                      <w:rFonts w:hint="eastAsia"/>
                      <w:color w:val="auto"/>
                      <w:kern w:val="0"/>
                      <w:sz w:val="21"/>
                      <w:szCs w:val="21"/>
                      <w:lang w:bidi="ar"/>
                    </w:rPr>
                  </w:pPr>
                  <w:r>
                    <w:rPr>
                      <w:rFonts w:hint="eastAsia"/>
                      <w:color w:val="auto"/>
                      <w:sz w:val="21"/>
                      <w:szCs w:val="21"/>
                    </w:rPr>
                    <w:t>4.04</w:t>
                  </w:r>
                  <w:r>
                    <w:rPr>
                      <w:rFonts w:hint="eastAsia"/>
                      <w:color w:val="auto"/>
                      <w:kern w:val="0"/>
                      <w:sz w:val="21"/>
                      <w:szCs w:val="21"/>
                      <w:lang w:bidi="ar"/>
                    </w:rPr>
                    <w:t>mg</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bCs/>
                      <w:color w:val="auto"/>
                      <w:sz w:val="21"/>
                      <w:szCs w:val="21"/>
                    </w:rPr>
                    <w:t>TEQ/a</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1台遗物祭品焚烧炉</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烟尘</w:t>
                  </w:r>
                </w:p>
              </w:tc>
              <w:tc>
                <w:tcPr>
                  <w:tcW w:w="1558"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遗物祭品焚烧炉单独配置一套废气处理设施+1根12m高排气筒。</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烟气净化采用急冷装置+半干法脱硫+活性炭喷射+布袋除尘器+活性炭吸组合方案。</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40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0.2</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0.292</w:t>
                  </w:r>
                </w:p>
              </w:tc>
              <w:tc>
                <w:tcPr>
                  <w:tcW w:w="551"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有组织</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1根12m高排气筒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SO</w:t>
                  </w:r>
                  <w:r>
                    <w:rPr>
                      <w:rFonts w:hint="eastAsia"/>
                      <w:bCs/>
                      <w:color w:val="auto"/>
                      <w:sz w:val="21"/>
                      <w:szCs w:val="21"/>
                      <w:vertAlign w:val="subscript"/>
                    </w:rPr>
                    <w:t>2</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70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0.35</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0.511</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NO</w:t>
                  </w:r>
                  <w:r>
                    <w:rPr>
                      <w:rFonts w:hint="eastAsia"/>
                      <w:bCs/>
                      <w:color w:val="auto"/>
                      <w:sz w:val="21"/>
                      <w:szCs w:val="21"/>
                      <w:vertAlign w:val="subscript"/>
                    </w:rPr>
                    <w:t>X</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220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1.1</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1.606</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CO</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150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0.75</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1.095</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HCl</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10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0.05</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0.073</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二噁英类</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0.5</w:t>
                  </w:r>
                  <w:r>
                    <w:rPr>
                      <w:rFonts w:hint="eastAsia"/>
                      <w:bCs/>
                      <w:color w:val="auto"/>
                      <w:sz w:val="21"/>
                      <w:szCs w:val="21"/>
                    </w:rPr>
                    <w:t>ng TEQ/m</w:t>
                  </w:r>
                  <w:r>
                    <w:rPr>
                      <w:rFonts w:hint="eastAsia"/>
                      <w:bCs/>
                      <w:color w:val="auto"/>
                      <w:sz w:val="21"/>
                      <w:szCs w:val="21"/>
                      <w:vertAlign w:val="superscript"/>
                    </w:rPr>
                    <w:t>3</w:t>
                  </w:r>
                </w:p>
              </w:tc>
              <w:tc>
                <w:tcPr>
                  <w:tcW w:w="590" w:type="pct"/>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2500 ng</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TEQ/h</w:t>
                  </w:r>
                </w:p>
              </w:tc>
              <w:tc>
                <w:tcPr>
                  <w:tcW w:w="719" w:type="pct"/>
                  <w:vAlign w:val="center"/>
                </w:tcPr>
                <w:p>
                  <w:pPr>
                    <w:keepNext w:val="0"/>
                    <w:keepLines w:val="0"/>
                    <w:suppressLineNumbers w:val="0"/>
                    <w:spacing w:before="0" w:beforeAutospacing="0" w:after="0" w:afterAutospacing="0"/>
                    <w:ind w:left="0" w:right="0"/>
                    <w:jc w:val="center"/>
                    <w:rPr>
                      <w:rFonts w:hint="eastAsia"/>
                      <w:color w:val="auto"/>
                      <w:kern w:val="0"/>
                      <w:sz w:val="21"/>
                      <w:szCs w:val="21"/>
                      <w:lang w:bidi="ar"/>
                    </w:rPr>
                  </w:pPr>
                  <w:r>
                    <w:rPr>
                      <w:rFonts w:hint="eastAsia"/>
                      <w:color w:val="auto"/>
                      <w:sz w:val="21"/>
                      <w:szCs w:val="21"/>
                    </w:rPr>
                    <w:t>3.65</w:t>
                  </w:r>
                  <w:r>
                    <w:rPr>
                      <w:rFonts w:hint="eastAsia"/>
                      <w:color w:val="auto"/>
                      <w:kern w:val="0"/>
                      <w:sz w:val="21"/>
                      <w:szCs w:val="21"/>
                      <w:lang w:bidi="ar"/>
                    </w:rPr>
                    <w:t>mg</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TEQ/a</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汽车尾气</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CO</w:t>
                  </w:r>
                </w:p>
              </w:tc>
              <w:tc>
                <w:tcPr>
                  <w:tcW w:w="1558"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汽车尾气产生较少，同时地面停车场分布范围较广，产生的汽车尾气易自然扩散，本环评不进行量化分析</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THC</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42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NO</w:t>
                  </w:r>
                  <w:r>
                    <w:rPr>
                      <w:rFonts w:hint="eastAsia"/>
                      <w:bCs/>
                      <w:color w:val="auto"/>
                      <w:sz w:val="21"/>
                      <w:szCs w:val="21"/>
                      <w:vertAlign w:val="subscript"/>
                    </w:rPr>
                    <w:t>x</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备用发电机废气</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燃烧废气</w:t>
                  </w:r>
                </w:p>
              </w:tc>
              <w:tc>
                <w:tcPr>
                  <w:tcW w:w="1558"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项目正常运营的情况下基本不会启用</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污水处理站废气</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NH</w:t>
                  </w:r>
                  <w:r>
                    <w:rPr>
                      <w:rFonts w:hint="eastAsia"/>
                      <w:color w:val="auto"/>
                      <w:sz w:val="21"/>
                      <w:szCs w:val="21"/>
                      <w:vertAlign w:val="subscript"/>
                    </w:rPr>
                    <w:t>3</w:t>
                  </w:r>
                </w:p>
              </w:tc>
              <w:tc>
                <w:tcPr>
                  <w:tcW w:w="1558"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采用地埋式一体化污水处理设备为全过程封闭式的污水处理工艺，有效抑制了污水恶臭向外环境的散发，恶臭逸出量少，以无组织形式排放</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臭气浓度</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柴油储罐</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VOCs</w:t>
                  </w:r>
                </w:p>
              </w:tc>
              <w:tc>
                <w:tcPr>
                  <w:tcW w:w="1558"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轻质柴油使用量较小，通过设置地下柴油储罐，安装机械呼吸阀，可以从源头控制挥发性有机物的排放</w:t>
                  </w:r>
                </w:p>
              </w:tc>
              <w:tc>
                <w:tcPr>
                  <w:tcW w:w="570" w:type="pct"/>
                  <w:vAlign w:val="center"/>
                </w:tcPr>
                <w:p>
                  <w:pPr>
                    <w:pStyle w:val="47"/>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w:t>
                  </w:r>
                </w:p>
              </w:tc>
              <w:tc>
                <w:tcPr>
                  <w:tcW w:w="590" w:type="pct"/>
                  <w:vAlign w:val="center"/>
                </w:tcPr>
                <w:p>
                  <w:pPr>
                    <w:pStyle w:val="47"/>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w:t>
                  </w:r>
                </w:p>
              </w:tc>
              <w:tc>
                <w:tcPr>
                  <w:tcW w:w="719" w:type="pct"/>
                  <w:vAlign w:val="center"/>
                </w:tcPr>
                <w:p>
                  <w:pPr>
                    <w:pStyle w:val="47"/>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w:t>
                  </w:r>
                </w:p>
              </w:tc>
              <w:tc>
                <w:tcPr>
                  <w:tcW w:w="551"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非正常工况下火化炉废气</w:t>
                  </w: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烟尘</w:t>
                  </w:r>
                </w:p>
              </w:tc>
              <w:tc>
                <w:tcPr>
                  <w:tcW w:w="1558"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非正常情况下废气排放取1min之内无烟气处理设施情况下的火化炉污染物排放作为非正常排污量</w:t>
                  </w: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0.18</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00</w:t>
                  </w:r>
                  <w:r>
                    <w:rPr>
                      <w:rFonts w:hint="eastAsia"/>
                      <w:color w:val="auto"/>
                      <w:sz w:val="21"/>
                      <w:szCs w:val="21"/>
                    </w:rPr>
                    <w:t xml:space="preserve">3 </w:t>
                  </w:r>
                  <w:r>
                    <w:rPr>
                      <w:rFonts w:hint="eastAsia"/>
                      <w:color w:val="auto"/>
                      <w:sz w:val="21"/>
                      <w:szCs w:val="21"/>
                      <w:lang w:val="en-US" w:eastAsia="zh-CN"/>
                    </w:rPr>
                    <w:t>kg</w:t>
                  </w:r>
                  <w:r>
                    <w:rPr>
                      <w:rFonts w:hint="eastAsia"/>
                      <w:color w:val="auto"/>
                      <w:sz w:val="21"/>
                      <w:szCs w:val="21"/>
                    </w:rPr>
                    <w:t>/次</w:t>
                  </w:r>
                </w:p>
              </w:tc>
              <w:tc>
                <w:tcPr>
                  <w:tcW w:w="551" w:type="pct"/>
                  <w:vMerge w:val="restar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有组织</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1根12m高排气筒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SO</w:t>
                  </w:r>
                  <w:r>
                    <w:rPr>
                      <w:rFonts w:hint="eastAsia"/>
                      <w:bCs/>
                      <w:color w:val="auto"/>
                      <w:sz w:val="21"/>
                      <w:szCs w:val="21"/>
                      <w:vertAlign w:val="subscript"/>
                    </w:rPr>
                    <w:t>2</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0.18</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00</w:t>
                  </w:r>
                  <w:r>
                    <w:rPr>
                      <w:rFonts w:hint="eastAsia"/>
                      <w:color w:val="auto"/>
                      <w:sz w:val="21"/>
                      <w:szCs w:val="21"/>
                    </w:rPr>
                    <w:t xml:space="preserve">3 </w:t>
                  </w:r>
                  <w:r>
                    <w:rPr>
                      <w:rFonts w:hint="eastAsia"/>
                      <w:color w:val="auto"/>
                      <w:sz w:val="21"/>
                      <w:szCs w:val="21"/>
                      <w:lang w:val="en-US" w:eastAsia="zh-CN"/>
                    </w:rPr>
                    <w:t>kg</w:t>
                  </w:r>
                  <w:r>
                    <w:rPr>
                      <w:rFonts w:hint="eastAsia"/>
                      <w:color w:val="auto"/>
                      <w:sz w:val="21"/>
                      <w:szCs w:val="21"/>
                    </w:rPr>
                    <w:t>/次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NO</w:t>
                  </w:r>
                  <w:r>
                    <w:rPr>
                      <w:rFonts w:hint="eastAsia"/>
                      <w:bCs/>
                      <w:color w:val="auto"/>
                      <w:sz w:val="21"/>
                      <w:szCs w:val="21"/>
                      <w:vertAlign w:val="subscript"/>
                    </w:rPr>
                    <w:t>X</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150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0.9</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0.015</w:t>
                  </w:r>
                  <w:r>
                    <w:rPr>
                      <w:rFonts w:hint="eastAsia"/>
                      <w:color w:val="auto"/>
                      <w:sz w:val="21"/>
                      <w:szCs w:val="21"/>
                    </w:rPr>
                    <w:t xml:space="preserve"> </w:t>
                  </w:r>
                  <w:r>
                    <w:rPr>
                      <w:rFonts w:hint="eastAsia"/>
                      <w:color w:val="auto"/>
                      <w:sz w:val="21"/>
                      <w:szCs w:val="21"/>
                      <w:lang w:val="en-US" w:eastAsia="zh-CN"/>
                    </w:rPr>
                    <w:t>kg</w:t>
                  </w:r>
                  <w:r>
                    <w:rPr>
                      <w:rFonts w:hint="eastAsia"/>
                      <w:color w:val="auto"/>
                      <w:sz w:val="21"/>
                      <w:szCs w:val="21"/>
                    </w:rPr>
                    <w:t>/次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CO</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120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0.72</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0.012</w:t>
                  </w:r>
                  <w:r>
                    <w:rPr>
                      <w:rFonts w:hint="eastAsia"/>
                      <w:color w:val="auto"/>
                      <w:sz w:val="21"/>
                      <w:szCs w:val="21"/>
                    </w:rPr>
                    <w:t xml:space="preserve"> </w:t>
                  </w:r>
                  <w:r>
                    <w:rPr>
                      <w:rFonts w:hint="eastAsia"/>
                      <w:color w:val="auto"/>
                      <w:sz w:val="21"/>
                      <w:szCs w:val="21"/>
                      <w:lang w:val="en-US" w:eastAsia="zh-CN"/>
                    </w:rPr>
                    <w:t>kg</w:t>
                  </w:r>
                  <w:r>
                    <w:rPr>
                      <w:rFonts w:hint="eastAsia"/>
                      <w:color w:val="auto"/>
                      <w:sz w:val="21"/>
                      <w:szCs w:val="21"/>
                    </w:rPr>
                    <w:t>/次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HCl</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50</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0.3</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00</w:t>
                  </w:r>
                  <w:r>
                    <w:rPr>
                      <w:rFonts w:hint="eastAsia"/>
                      <w:color w:val="auto"/>
                      <w:sz w:val="21"/>
                      <w:szCs w:val="21"/>
                    </w:rPr>
                    <w:t xml:space="preserve">5 </w:t>
                  </w:r>
                  <w:r>
                    <w:rPr>
                      <w:rFonts w:hint="eastAsia"/>
                      <w:color w:val="auto"/>
                      <w:sz w:val="21"/>
                      <w:szCs w:val="21"/>
                      <w:lang w:val="en-US" w:eastAsia="zh-CN"/>
                    </w:rPr>
                    <w:t>kg</w:t>
                  </w:r>
                  <w:r>
                    <w:rPr>
                      <w:rFonts w:hint="eastAsia"/>
                      <w:color w:val="auto"/>
                      <w:sz w:val="21"/>
                      <w:szCs w:val="21"/>
                    </w:rPr>
                    <w:t>/次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汞</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0.4</w:t>
                  </w:r>
                </w:p>
              </w:tc>
              <w:tc>
                <w:tcPr>
                  <w:tcW w:w="59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0.0024</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0.00</w:t>
                  </w:r>
                  <w:r>
                    <w:rPr>
                      <w:rFonts w:hint="eastAsia"/>
                      <w:color w:val="auto"/>
                      <w:sz w:val="21"/>
                      <w:szCs w:val="21"/>
                      <w:lang w:val="en-US" w:eastAsia="zh-CN"/>
                    </w:rPr>
                    <w:t>00</w:t>
                  </w:r>
                  <w:r>
                    <w:rPr>
                      <w:rFonts w:hint="eastAsia"/>
                      <w:color w:val="auto"/>
                      <w:sz w:val="21"/>
                      <w:szCs w:val="21"/>
                    </w:rPr>
                    <w:t>4</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 xml:space="preserve"> </w:t>
                  </w:r>
                  <w:r>
                    <w:rPr>
                      <w:rFonts w:hint="eastAsia"/>
                      <w:color w:val="auto"/>
                      <w:sz w:val="21"/>
                      <w:szCs w:val="21"/>
                      <w:lang w:val="en-US" w:eastAsia="zh-CN"/>
                    </w:rPr>
                    <w:t>kg</w:t>
                  </w:r>
                  <w:r>
                    <w:rPr>
                      <w:rFonts w:hint="eastAsia"/>
                      <w:color w:val="auto"/>
                      <w:sz w:val="21"/>
                      <w:szCs w:val="21"/>
                    </w:rPr>
                    <w:t>/次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497"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Cs/>
                      <w:color w:val="auto"/>
                      <w:sz w:val="21"/>
                      <w:szCs w:val="21"/>
                    </w:rPr>
                    <w:t>二噁英类</w:t>
                  </w:r>
                </w:p>
              </w:tc>
              <w:tc>
                <w:tcPr>
                  <w:tcW w:w="1558"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570"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4.1</w:t>
                  </w:r>
                  <w:r>
                    <w:rPr>
                      <w:rFonts w:hint="eastAsia"/>
                      <w:bCs/>
                      <w:color w:val="auto"/>
                      <w:sz w:val="21"/>
                      <w:szCs w:val="21"/>
                    </w:rPr>
                    <w:t xml:space="preserve"> ng TEQ/m</w:t>
                  </w:r>
                  <w:r>
                    <w:rPr>
                      <w:rFonts w:hint="eastAsia"/>
                      <w:bCs/>
                      <w:color w:val="auto"/>
                      <w:sz w:val="21"/>
                      <w:szCs w:val="21"/>
                      <w:vertAlign w:val="superscript"/>
                    </w:rPr>
                    <w:t>3</w:t>
                  </w:r>
                </w:p>
              </w:tc>
              <w:tc>
                <w:tcPr>
                  <w:tcW w:w="590" w:type="pct"/>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246</w:t>
                  </w:r>
                  <w:r>
                    <w:rPr>
                      <w:rFonts w:hint="eastAsia"/>
                      <w:color w:val="auto"/>
                      <w:sz w:val="21"/>
                      <w:szCs w:val="21"/>
                      <w:lang w:val="en-US" w:eastAsia="zh-CN"/>
                    </w:rPr>
                    <w:t>00</w:t>
                  </w:r>
                  <w:r>
                    <w:rPr>
                      <w:rFonts w:hint="eastAsia"/>
                      <w:color w:val="auto"/>
                      <w:sz w:val="21"/>
                      <w:szCs w:val="21"/>
                    </w:rPr>
                    <w:t xml:space="preserve"> ngTEQ/h</w:t>
                  </w:r>
                </w:p>
              </w:tc>
              <w:tc>
                <w:tcPr>
                  <w:tcW w:w="719" w:type="pct"/>
                  <w:vAlign w:val="center"/>
                </w:tcPr>
                <w:p>
                  <w:pPr>
                    <w:pStyle w:val="47"/>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410</w:t>
                  </w:r>
                </w:p>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ng/次</w:t>
                  </w:r>
                </w:p>
              </w:tc>
              <w:tc>
                <w:tcPr>
                  <w:tcW w:w="551" w:type="pct"/>
                  <w:vMerge w:val="continue"/>
                  <w:vAlign w:val="center"/>
                </w:tcPr>
                <w:p>
                  <w:pPr>
                    <w:pStyle w:val="47"/>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bookmarkEnd w:id="5"/>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综上所述，本项目主要污染源为节能环保火化机、遗物祭品焚烧炉，主要污染物为烟尘、</w:t>
            </w:r>
            <w:r>
              <w:rPr>
                <w:rFonts w:hint="eastAsia"/>
                <w:bCs/>
                <w:color w:val="auto"/>
                <w:sz w:val="24"/>
              </w:rPr>
              <w:t>SO</w:t>
            </w:r>
            <w:r>
              <w:rPr>
                <w:rFonts w:hint="eastAsia"/>
                <w:bCs/>
                <w:color w:val="auto"/>
                <w:sz w:val="24"/>
                <w:vertAlign w:val="subscript"/>
              </w:rPr>
              <w:t>2</w:t>
            </w:r>
            <w:r>
              <w:rPr>
                <w:rFonts w:hint="eastAsia"/>
                <w:color w:val="auto"/>
                <w:sz w:val="24"/>
              </w:rPr>
              <w:t>、</w:t>
            </w:r>
            <w:r>
              <w:rPr>
                <w:rFonts w:hint="eastAsia"/>
                <w:bCs/>
                <w:color w:val="auto"/>
                <w:sz w:val="24"/>
              </w:rPr>
              <w:t>NO</w:t>
            </w:r>
            <w:r>
              <w:rPr>
                <w:rFonts w:hint="eastAsia"/>
                <w:bCs/>
                <w:color w:val="auto"/>
                <w:sz w:val="24"/>
                <w:vertAlign w:val="subscript"/>
              </w:rPr>
              <w:t>X</w:t>
            </w:r>
            <w:r>
              <w:rPr>
                <w:rFonts w:hint="eastAsia"/>
                <w:color w:val="auto"/>
                <w:sz w:val="24"/>
              </w:rPr>
              <w:t>、</w:t>
            </w:r>
            <w:r>
              <w:rPr>
                <w:rFonts w:hint="eastAsia"/>
                <w:bCs/>
                <w:color w:val="auto"/>
                <w:sz w:val="24"/>
              </w:rPr>
              <w:t>CO</w:t>
            </w:r>
            <w:r>
              <w:rPr>
                <w:rFonts w:hint="eastAsia"/>
                <w:color w:val="auto"/>
                <w:sz w:val="24"/>
              </w:rPr>
              <w:t>、</w:t>
            </w:r>
            <w:r>
              <w:rPr>
                <w:rFonts w:hint="eastAsia"/>
                <w:bCs/>
                <w:color w:val="auto"/>
                <w:sz w:val="24"/>
              </w:rPr>
              <w:t>HCl</w:t>
            </w:r>
            <w:r>
              <w:rPr>
                <w:rFonts w:hint="eastAsia"/>
                <w:color w:val="auto"/>
                <w:sz w:val="24"/>
              </w:rPr>
              <w:t>、</w:t>
            </w:r>
            <w:r>
              <w:rPr>
                <w:rFonts w:hint="eastAsia"/>
                <w:bCs/>
                <w:color w:val="auto"/>
                <w:sz w:val="24"/>
              </w:rPr>
              <w:t>汞</w:t>
            </w:r>
            <w:r>
              <w:rPr>
                <w:rFonts w:hint="eastAsia"/>
                <w:color w:val="auto"/>
                <w:sz w:val="24"/>
              </w:rPr>
              <w:t>、</w:t>
            </w:r>
            <w:r>
              <w:rPr>
                <w:rFonts w:hint="eastAsia"/>
                <w:bCs/>
                <w:color w:val="auto"/>
                <w:sz w:val="24"/>
              </w:rPr>
              <w:t>二噁英类</w:t>
            </w:r>
            <w:r>
              <w:rPr>
                <w:rFonts w:hint="eastAsia"/>
                <w:color w:val="auto"/>
                <w:sz w:val="24"/>
              </w:rPr>
              <w:t>，采取的污染防治措施包括</w:t>
            </w:r>
            <w:r>
              <w:rPr>
                <w:rFonts w:hint="eastAsia"/>
                <w:bCs/>
                <w:color w:val="auto"/>
                <w:sz w:val="24"/>
              </w:rPr>
              <w:t>源头控制措施，如选用节能环保火化机，保证火化机炉膛温度和火化烟气在再燃室中有足够的停留时间以及合理配风，提高烟气的湍流度，降低污染物的产生量；以及烟气末端治理措施，如采用急冷装置+半干法脱硫+活性炭喷射+布袋除尘器+活性炭吸</w:t>
            </w:r>
            <w:r>
              <w:rPr>
                <w:rFonts w:hint="eastAsia"/>
                <w:bCs/>
                <w:color w:val="auto"/>
                <w:sz w:val="24"/>
                <w:lang w:val="en-US" w:eastAsia="zh-CN"/>
              </w:rPr>
              <w:t>附</w:t>
            </w:r>
            <w:r>
              <w:rPr>
                <w:rFonts w:hint="eastAsia"/>
                <w:bCs/>
                <w:color w:val="auto"/>
                <w:sz w:val="24"/>
              </w:rPr>
              <w:t>组合方案治理烟气，以上技术均属于可行治理技术；火化机烟气中烟尘、SO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、CO、HCl、汞、二噁英类的排放浓度可满足《火葬场大气污染物排放标准》（GB13801-2015）中表2新建单位遗体火化大气污染物排放限值要求；遗物祭品焚烧炉烟气中烟尘、SO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x</w:t>
            </w:r>
            <w:r>
              <w:rPr>
                <w:rFonts w:hint="eastAsia"/>
                <w:bCs/>
                <w:color w:val="auto"/>
                <w:sz w:val="24"/>
              </w:rPr>
              <w:t>、CO、HCl、二噁英类的排放浓度可满足《火葬场大气污染物排放标准》（GB13801-2015）中表3遗物祭品焚烧大气污染物排放限值要求；烟气</w:t>
            </w:r>
            <w:r>
              <w:rPr>
                <w:rFonts w:hint="eastAsia"/>
                <w:color w:val="auto"/>
                <w:sz w:val="24"/>
              </w:rPr>
              <w:t>均可达标排放，且排放量较小，对周围环境影响较小。</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卫生防护距离</w:t>
            </w:r>
            <w:r>
              <w:rPr>
                <w:rFonts w:hint="eastAsia"/>
                <w:b/>
                <w:bCs/>
                <w:color w:val="auto"/>
                <w:sz w:val="24"/>
                <w:lang w:val="en-US" w:eastAsia="zh-CN"/>
              </w:rPr>
              <w:t>计算</w:t>
            </w:r>
            <w:r>
              <w:rPr>
                <w:rFonts w:hint="eastAsia"/>
                <w:b/>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w:t>
            </w:r>
            <w:r>
              <w:rPr>
                <w:rFonts w:hint="eastAsia"/>
                <w:color w:val="auto"/>
                <w:kern w:val="0"/>
                <w:sz w:val="24"/>
              </w:rPr>
              <w:t>“关于印发《山西省殡葬基础设施建设指南》的通知”（晋民发[2020]60号），殡仪馆选址应符合城乡规划和土地利用总体规划（国土空间规划），不得占用永久基本农田，避开“三沿六区”以及各类自然保护地，应建在当地常年主导风向的下风侧，应有利于排水和空气扩散，尽量选择周边单位和居民较少、相对独立、交通便利的地域，并处理好与周边单位及居民的关系，符合《火葬场卫生防护距离标准》（GB18081）规定。</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ascii="Times New Roman" w:hAnsi="Times New Roman" w:eastAsia="宋体" w:cs="Times New Roman"/>
                <w:bCs/>
                <w:color w:val="auto"/>
                <w:sz w:val="24"/>
                <w:szCs w:val="20"/>
                <w:lang w:val="en-US" w:eastAsia="zh-CN" w:bidi="ar"/>
              </w:rPr>
              <w:t>《大气有害物质无组织排放卫生防护距离推导技术导则》（</w:t>
            </w:r>
            <w:r>
              <w:rPr>
                <w:rFonts w:hint="default" w:ascii="Times New Roman" w:hAnsi="Times New Roman" w:eastAsia="宋体" w:cs="Times New Roman"/>
                <w:bCs/>
                <w:color w:val="auto"/>
                <w:sz w:val="24"/>
                <w:szCs w:val="20"/>
                <w:lang w:val="en-US" w:eastAsia="zh-CN" w:bidi="ar"/>
              </w:rPr>
              <w:t>GB/T 39499-2020</w:t>
            </w:r>
            <w:r>
              <w:rPr>
                <w:rFonts w:hint="eastAsia" w:ascii="Times New Roman" w:hAnsi="Times New Roman" w:eastAsia="宋体" w:cs="Times New Roman"/>
                <w:bCs/>
                <w:color w:val="auto"/>
                <w:sz w:val="24"/>
                <w:szCs w:val="20"/>
                <w:lang w:val="en-US" w:eastAsia="zh-CN" w:bidi="ar"/>
              </w:rPr>
              <w:t>）于</w:t>
            </w:r>
            <w:r>
              <w:rPr>
                <w:rFonts w:hint="default" w:ascii="Times New Roman" w:hAnsi="Times New Roman" w:eastAsia="宋体" w:cs="Times New Roman"/>
                <w:bCs/>
                <w:color w:val="auto"/>
                <w:sz w:val="24"/>
                <w:szCs w:val="20"/>
                <w:lang w:val="en-US" w:eastAsia="zh-CN" w:bidi="ar"/>
              </w:rPr>
              <w:t>2021</w:t>
            </w:r>
            <w:r>
              <w:rPr>
                <w:rFonts w:hint="eastAsia" w:ascii="Times New Roman" w:hAnsi="Times New Roman" w:eastAsia="宋体" w:cs="Times New Roman"/>
                <w:bCs/>
                <w:color w:val="auto"/>
                <w:sz w:val="24"/>
                <w:szCs w:val="20"/>
                <w:lang w:val="en-US" w:eastAsia="zh-CN" w:bidi="ar"/>
              </w:rPr>
              <w:t>年</w:t>
            </w:r>
            <w:r>
              <w:rPr>
                <w:rFonts w:hint="default" w:ascii="Times New Roman" w:hAnsi="Times New Roman" w:eastAsia="宋体" w:cs="Times New Roman"/>
                <w:bCs/>
                <w:color w:val="auto"/>
                <w:sz w:val="24"/>
                <w:szCs w:val="20"/>
                <w:lang w:val="en-US" w:eastAsia="zh-CN" w:bidi="ar"/>
              </w:rPr>
              <w:t>6</w:t>
            </w:r>
            <w:r>
              <w:rPr>
                <w:rFonts w:hint="eastAsia" w:ascii="Times New Roman" w:hAnsi="Times New Roman" w:eastAsia="宋体" w:cs="Times New Roman"/>
                <w:bCs/>
                <w:color w:val="auto"/>
                <w:sz w:val="24"/>
                <w:szCs w:val="20"/>
                <w:lang w:val="en-US" w:eastAsia="zh-CN" w:bidi="ar"/>
              </w:rPr>
              <w:t>月</w:t>
            </w:r>
            <w:r>
              <w:rPr>
                <w:rFonts w:hint="default" w:ascii="Times New Roman" w:hAnsi="Times New Roman" w:eastAsia="宋体" w:cs="Times New Roman"/>
                <w:bCs/>
                <w:color w:val="auto"/>
                <w:sz w:val="24"/>
                <w:szCs w:val="20"/>
                <w:lang w:val="en-US" w:eastAsia="zh-CN" w:bidi="ar"/>
              </w:rPr>
              <w:t>1</w:t>
            </w:r>
            <w:r>
              <w:rPr>
                <w:rFonts w:hint="eastAsia" w:ascii="Times New Roman" w:hAnsi="Times New Roman" w:eastAsia="宋体" w:cs="Times New Roman"/>
                <w:bCs/>
                <w:color w:val="auto"/>
                <w:sz w:val="24"/>
                <w:szCs w:val="20"/>
                <w:lang w:val="en-US" w:eastAsia="zh-CN" w:bidi="ar"/>
              </w:rPr>
              <w:t>日实施，代替</w:t>
            </w:r>
            <w:r>
              <w:rPr>
                <w:rFonts w:hint="eastAsia" w:cs="Times New Roman"/>
                <w:bCs/>
                <w:color w:val="auto"/>
                <w:sz w:val="24"/>
                <w:szCs w:val="20"/>
                <w:lang w:val="en-US" w:eastAsia="zh-CN" w:bidi="ar"/>
              </w:rPr>
              <w:t>包括</w:t>
            </w:r>
            <w:r>
              <w:rPr>
                <w:rFonts w:hint="eastAsia"/>
                <w:color w:val="auto"/>
                <w:kern w:val="0"/>
                <w:sz w:val="24"/>
              </w:rPr>
              <w:t>《火葬场卫生防护距离标准》（GB18081）</w:t>
            </w:r>
            <w:r>
              <w:rPr>
                <w:rFonts w:hint="eastAsia"/>
                <w:color w:val="auto"/>
                <w:kern w:val="0"/>
                <w:sz w:val="24"/>
                <w:lang w:val="en-US" w:eastAsia="zh-CN"/>
              </w:rPr>
              <w:t>等</w:t>
            </w:r>
            <w:r>
              <w:rPr>
                <w:rFonts w:hint="eastAsia" w:ascii="Times New Roman" w:hAnsi="Times New Roman" w:eastAsia="宋体" w:cs="Times New Roman"/>
                <w:bCs/>
                <w:color w:val="auto"/>
                <w:sz w:val="24"/>
                <w:szCs w:val="20"/>
                <w:lang w:val="en-US" w:eastAsia="zh-CN" w:bidi="ar"/>
              </w:rPr>
              <w:t>共</w:t>
            </w:r>
            <w:r>
              <w:rPr>
                <w:rFonts w:hint="default" w:ascii="Times New Roman" w:hAnsi="Times New Roman" w:eastAsia="宋体" w:cs="Times New Roman"/>
                <w:bCs/>
                <w:color w:val="auto"/>
                <w:sz w:val="24"/>
                <w:szCs w:val="20"/>
                <w:lang w:val="en-US" w:eastAsia="zh-CN" w:bidi="ar"/>
              </w:rPr>
              <w:t>29</w:t>
            </w:r>
            <w:r>
              <w:rPr>
                <w:rFonts w:hint="eastAsia" w:ascii="Times New Roman" w:hAnsi="Times New Roman" w:eastAsia="宋体" w:cs="Times New Roman"/>
                <w:bCs/>
                <w:color w:val="auto"/>
                <w:sz w:val="24"/>
                <w:szCs w:val="20"/>
                <w:lang w:val="en-US" w:eastAsia="zh-CN" w:bidi="ar"/>
              </w:rPr>
              <w:t>项卫生防护距离标准；</w:t>
            </w:r>
            <w:r>
              <w:rPr>
                <w:rFonts w:hint="eastAsia" w:cs="Times New Roman"/>
                <w:bCs/>
                <w:color w:val="auto"/>
                <w:sz w:val="24"/>
                <w:szCs w:val="20"/>
                <w:lang w:val="en-US" w:eastAsia="zh-CN" w:bidi="ar"/>
              </w:rPr>
              <w:t>本次评价</w:t>
            </w:r>
            <w:r>
              <w:rPr>
                <w:rFonts w:hint="eastAsia" w:ascii="Times New Roman" w:hAnsi="Times New Roman" w:eastAsia="宋体" w:cs="Times New Roman"/>
                <w:bCs/>
                <w:color w:val="auto"/>
                <w:sz w:val="24"/>
                <w:szCs w:val="20"/>
                <w:lang w:val="en-US" w:eastAsia="zh-CN" w:bidi="ar"/>
              </w:rPr>
              <w:t>根据该技术导则，计算本项目的卫生防护距离。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eastAsia"/>
                <w:b/>
                <w:bCs w:val="0"/>
                <w:color w:val="auto"/>
                <w:lang w:val="en-US"/>
              </w:rPr>
            </w:pPr>
            <w:r>
              <w:rPr>
                <w:rFonts w:hint="eastAsia" w:ascii="Times New Roman" w:hAnsi="Times New Roman" w:eastAsia="宋体" w:cs="宋体"/>
                <w:b/>
                <w:bCs w:val="0"/>
                <w:color w:val="auto"/>
                <w:kern w:val="2"/>
                <w:sz w:val="24"/>
                <w:szCs w:val="20"/>
                <w:lang w:val="en-US" w:eastAsia="zh-CN" w:bidi="ar"/>
              </w:rPr>
              <w:t>卫生防护距离初值计算公式：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bCs/>
                <w:color w:val="auto"/>
                <w:lang w:val="en-US"/>
              </w:rPr>
            </w:pPr>
            <w:r>
              <w:rPr>
                <w:rFonts w:hint="default" w:ascii="Times New Roman" w:hAnsi="Times New Roman" w:eastAsia="宋体" w:cs="Times New Roman"/>
                <w:color w:val="auto"/>
                <w:kern w:val="2"/>
                <w:sz w:val="24"/>
                <w:szCs w:val="20"/>
                <w:lang w:val="en-US" w:eastAsia="zh-CN" w:bidi="ar"/>
              </w:rPr>
              <w:drawing>
                <wp:inline distT="0" distB="0" distL="114300" distR="114300">
                  <wp:extent cx="2266950" cy="43815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8"/>
                          <a:stretch>
                            <a:fillRect/>
                          </a:stretch>
                        </pic:blipFill>
                        <pic:spPr>
                          <a:xfrm>
                            <a:off x="0" y="0"/>
                            <a:ext cx="2266950" cy="438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40" w:lineRule="auto"/>
              <w:ind w:left="0" w:right="0" w:firstLine="480" w:firstLineChars="200"/>
              <w:jc w:val="both"/>
              <w:rPr>
                <w:rFonts w:hint="eastAsia"/>
                <w:bCs/>
                <w:color w:val="auto"/>
                <w:lang w:val="en-US"/>
              </w:rPr>
            </w:pPr>
            <w:r>
              <w:rPr>
                <w:rFonts w:hint="default" w:ascii="Times New Roman" w:hAnsi="Times New Roman" w:eastAsia="宋体" w:cs="Times New Roman"/>
                <w:color w:val="auto"/>
                <w:kern w:val="2"/>
                <w:sz w:val="24"/>
                <w:szCs w:val="20"/>
                <w:lang w:val="en-US" w:eastAsia="zh-CN" w:bidi="ar"/>
              </w:rPr>
              <w:drawing>
                <wp:inline distT="0" distB="0" distL="114300" distR="114300">
                  <wp:extent cx="5083810" cy="1257935"/>
                  <wp:effectExtent l="0" t="0" r="2540" b="18415"/>
                  <wp:docPr id="12" name="图片 1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文本&#10;&#10;描述已自动生成"/>
                          <pic:cNvPicPr>
                            <a:picLocks noChangeAspect="1"/>
                          </pic:cNvPicPr>
                        </pic:nvPicPr>
                        <pic:blipFill>
                          <a:blip r:embed="rId19"/>
                          <a:stretch>
                            <a:fillRect/>
                          </a:stretch>
                        </pic:blipFill>
                        <pic:spPr>
                          <a:xfrm>
                            <a:off x="0" y="0"/>
                            <a:ext cx="5083810" cy="125793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40" w:lineRule="auto"/>
              <w:ind w:left="0" w:right="0" w:firstLine="0" w:firstLineChars="0"/>
              <w:jc w:val="center"/>
              <w:rPr>
                <w:rFonts w:hint="eastAsia"/>
                <w:bCs/>
                <w:color w:val="auto"/>
                <w:lang w:val="en-US"/>
              </w:rPr>
            </w:pPr>
            <w:r>
              <w:rPr>
                <w:rFonts w:hint="default" w:ascii="Times New Roman" w:hAnsi="Times New Roman" w:eastAsia="宋体" w:cs="Times New Roman"/>
                <w:color w:val="auto"/>
                <w:kern w:val="2"/>
                <w:sz w:val="24"/>
                <w:szCs w:val="20"/>
                <w:lang w:val="en-US" w:eastAsia="zh-CN" w:bidi="ar"/>
              </w:rPr>
              <w:drawing>
                <wp:inline distT="0" distB="0" distL="114300" distR="114300">
                  <wp:extent cx="5222875" cy="4144010"/>
                  <wp:effectExtent l="0" t="0" r="15875" b="8890"/>
                  <wp:docPr id="10"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表格&#10;&#10;描述已自动生成"/>
                          <pic:cNvPicPr>
                            <a:picLocks noChangeAspect="1"/>
                          </pic:cNvPicPr>
                        </pic:nvPicPr>
                        <pic:blipFill>
                          <a:blip r:embed="rId20"/>
                          <a:stretch>
                            <a:fillRect/>
                          </a:stretch>
                        </pic:blipFill>
                        <pic:spPr>
                          <a:xfrm>
                            <a:off x="0" y="0"/>
                            <a:ext cx="5222875" cy="414401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eastAsia"/>
                <w:bCs/>
                <w:color w:val="auto"/>
                <w:lang w:val="en-US"/>
              </w:rPr>
            </w:pPr>
            <w:r>
              <w:rPr>
                <w:rFonts w:hint="eastAsia" w:ascii="Times New Roman" w:hAnsi="Times New Roman" w:eastAsia="宋体" w:cs="宋体"/>
                <w:b/>
                <w:bCs w:val="0"/>
                <w:color w:val="auto"/>
                <w:kern w:val="2"/>
                <w:sz w:val="24"/>
                <w:szCs w:val="20"/>
                <w:lang w:val="en-US" w:eastAsia="zh-CN" w:bidi="ar"/>
              </w:rPr>
              <w:t>本项目卫生防护距离初值计算：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宋体"/>
                <w:bCs/>
                <w:color w:val="auto"/>
                <w:kern w:val="2"/>
                <w:sz w:val="24"/>
                <w:szCs w:val="20"/>
                <w:lang w:val="en-US" w:eastAsia="zh-CN" w:bidi="ar"/>
              </w:rPr>
            </w:pP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为大气有害物质的无组织排放量，单位为</w:t>
            </w:r>
            <w:r>
              <w:rPr>
                <w:rFonts w:hint="default" w:ascii="Times New Roman" w:hAnsi="Times New Roman" w:eastAsia="宋体" w:cs="Times New Roman"/>
                <w:bCs/>
                <w:color w:val="auto"/>
                <w:kern w:val="2"/>
                <w:sz w:val="24"/>
                <w:szCs w:val="20"/>
                <w:lang w:val="en-US" w:eastAsia="zh-CN" w:bidi="ar"/>
              </w:rPr>
              <w:t>kg/h</w:t>
            </w:r>
            <w:r>
              <w:rPr>
                <w:rFonts w:hint="eastAsia" w:ascii="Times New Roman" w:hAnsi="Times New Roman" w:eastAsia="宋体" w:cs="宋体"/>
                <w:bCs/>
                <w:color w:val="auto"/>
                <w:kern w:val="2"/>
                <w:sz w:val="24"/>
                <w:szCs w:val="20"/>
                <w:lang w:val="en-US" w:eastAsia="zh-CN" w:bidi="ar"/>
              </w:rPr>
              <w:t>；</w:t>
            </w:r>
            <w:r>
              <w:rPr>
                <w:rFonts w:hint="eastAsia" w:cs="宋体"/>
                <w:bCs/>
                <w:color w:val="auto"/>
                <w:kern w:val="2"/>
                <w:sz w:val="24"/>
                <w:szCs w:val="20"/>
                <w:lang w:val="en-US" w:eastAsia="zh-CN" w:bidi="ar"/>
              </w:rPr>
              <w:t>本项目</w:t>
            </w:r>
            <w:r>
              <w:rPr>
                <w:rFonts w:hint="eastAsia" w:ascii="Times New Roman" w:hAnsi="Times New Roman" w:eastAsia="宋体" w:cs="宋体"/>
                <w:bCs/>
                <w:color w:val="auto"/>
                <w:kern w:val="2"/>
                <w:sz w:val="24"/>
                <w:szCs w:val="20"/>
                <w:lang w:val="en-US" w:eastAsia="zh-CN" w:bidi="ar"/>
              </w:rPr>
              <w:t>3台节能环保火化机分别单独配置一套废气处理设施+1根12m高排气筒；共3套废气处理设施，3根排气筒</w:t>
            </w:r>
            <w:r>
              <w:rPr>
                <w:rFonts w:hint="eastAsia" w:cs="宋体"/>
                <w:bCs/>
                <w:color w:val="auto"/>
                <w:kern w:val="2"/>
                <w:sz w:val="24"/>
                <w:szCs w:val="20"/>
                <w:lang w:val="en-US" w:eastAsia="zh-CN" w:bidi="ar"/>
              </w:rPr>
              <w:t>；</w:t>
            </w:r>
            <w:r>
              <w:rPr>
                <w:rFonts w:hint="eastAsia" w:ascii="Times New Roman" w:hAnsi="Times New Roman" w:eastAsia="宋体" w:cs="宋体"/>
                <w:bCs/>
                <w:color w:val="auto"/>
                <w:kern w:val="2"/>
                <w:sz w:val="24"/>
                <w:szCs w:val="20"/>
                <w:lang w:val="en-US" w:eastAsia="zh-CN" w:bidi="ar"/>
              </w:rPr>
              <w:t>遗物祭品焚烧炉单独配置一套废气处理设施+1根12m高排气筒</w:t>
            </w:r>
            <w:r>
              <w:rPr>
                <w:rFonts w:hint="eastAsia" w:cs="宋体"/>
                <w:bCs/>
                <w:color w:val="auto"/>
                <w:kern w:val="2"/>
                <w:sz w:val="24"/>
                <w:szCs w:val="20"/>
                <w:lang w:val="en-US" w:eastAsia="zh-CN" w:bidi="ar"/>
              </w:rPr>
              <w:t>；根据《大气污染物综合排放标准》（GB16297-1996）中对无组织的界定：低矮排气筒的排放属有组织排放，但在一定条件下也可造成与无组织排放相同的后果；因此，本次评价将项目排气筒排放的污染物作为无组织排放量参与卫生防护距离计算；其中烟尘</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0.56</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，二氧化硫</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0.62</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，氮氧化物</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3.8</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，一氧化碳</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2.91</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，氯化氢</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0.23</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，汞</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为0.00144</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，二噁英类</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eastAsia" w:cs="宋体"/>
                <w:bCs/>
                <w:color w:val="auto"/>
                <w:kern w:val="2"/>
                <w:sz w:val="24"/>
                <w:szCs w:val="20"/>
                <w:lang w:val="en-US" w:eastAsia="zh-CN" w:bidi="ar"/>
              </w:rPr>
              <w:t>7.38×10</w:t>
            </w:r>
            <w:r>
              <w:rPr>
                <w:rFonts w:hint="eastAsia" w:cs="宋体"/>
                <w:bCs/>
                <w:color w:val="auto"/>
                <w:kern w:val="2"/>
                <w:sz w:val="24"/>
                <w:szCs w:val="20"/>
                <w:vertAlign w:val="superscript"/>
                <w:lang w:val="en-US" w:eastAsia="zh-CN" w:bidi="ar"/>
              </w:rPr>
              <w:t>-9</w:t>
            </w:r>
            <w:r>
              <w:rPr>
                <w:rFonts w:hint="eastAsia"/>
                <w:color w:val="auto"/>
                <w:sz w:val="24"/>
                <w:szCs w:val="32"/>
              </w:rPr>
              <w:t>TEQ</w:t>
            </w:r>
            <w:r>
              <w:rPr>
                <w:rFonts w:hint="default" w:ascii="Times New Roman" w:hAnsi="Times New Roman" w:eastAsia="宋体" w:cs="Times New Roman"/>
                <w:bCs/>
                <w:color w:val="auto"/>
                <w:kern w:val="2"/>
                <w:sz w:val="24"/>
                <w:szCs w:val="20"/>
                <w:lang w:val="en-US" w:eastAsia="zh-CN" w:bidi="ar"/>
              </w:rPr>
              <w:t>kg/h</w:t>
            </w:r>
            <w:r>
              <w:rPr>
                <w:rFonts w:hint="eastAsia" w:cs="Times New Roman"/>
                <w:bCs/>
                <w:color w:val="auto"/>
                <w:kern w:val="2"/>
                <w:sz w:val="24"/>
                <w:szCs w:val="20"/>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bCs/>
                <w:color w:val="auto"/>
                <w:lang w:val="en-US"/>
              </w:rPr>
            </w:pP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为大气有害物质环境空气质量标准限值</w:t>
            </w:r>
            <w:r>
              <w:rPr>
                <w:rFonts w:hint="eastAsia" w:cs="宋体"/>
                <w:bCs/>
                <w:color w:val="auto"/>
                <w:kern w:val="2"/>
                <w:sz w:val="24"/>
                <w:szCs w:val="20"/>
                <w:lang w:val="en-US" w:eastAsia="zh-CN" w:bidi="ar"/>
              </w:rPr>
              <w:t>；当特征大气有害物质在GB3095中有规定的二级标准日均值时，一般可取其二级标准日均值的三倍；但对于致癌物质、毒性可累积的物质如苯、汞、铅等，则直接取其二级标准日均值；当特征大气有害物质在GB3095中无规定时，可按照HJ2.2中规定的1h平均标准值。综上，本项目烟尘（PM</w:t>
            </w:r>
            <w:r>
              <w:rPr>
                <w:rFonts w:hint="eastAsia" w:cs="宋体"/>
                <w:bCs/>
                <w:color w:val="auto"/>
                <w:kern w:val="2"/>
                <w:sz w:val="24"/>
                <w:szCs w:val="20"/>
                <w:vertAlign w:val="subscript"/>
                <w:lang w:val="en-US" w:eastAsia="zh-CN" w:bidi="ar"/>
              </w:rPr>
              <w:t>10</w:t>
            </w:r>
            <w:r>
              <w:rPr>
                <w:rFonts w:hint="eastAsia" w:cs="宋体"/>
                <w:bCs/>
                <w:color w:val="auto"/>
                <w:kern w:val="2"/>
                <w:sz w:val="24"/>
                <w:szCs w:val="20"/>
                <w:lang w:val="en-US" w:eastAsia="zh-CN" w:bidi="ar"/>
              </w:rPr>
              <w:t>）</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0.45mg/m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，二氧化硫</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0.45mg/m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，氮氧化物</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0.24mg/m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，一氧化碳</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12mg/m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，氯化氢</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0.05mg/m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，汞</w:t>
            </w:r>
            <w:r>
              <w:rPr>
                <w:rFonts w:hint="default" w:ascii="Times New Roman" w:hAnsi="Times New Roman" w:eastAsia="宋体" w:cs="Times New Roman"/>
                <w:bCs/>
                <w:i/>
                <w:iCs/>
                <w:color w:val="auto"/>
                <w:kern w:val="2"/>
                <w:sz w:val="24"/>
                <w:szCs w:val="20"/>
                <w:lang w:val="en-US" w:eastAsia="zh-CN" w:bidi="ar"/>
              </w:rPr>
              <w:t>Q</w:t>
            </w:r>
            <w:r>
              <w:rPr>
                <w:rFonts w:hint="default" w:ascii="Times New Roman" w:hAnsi="Times New Roman" w:eastAsia="宋体" w:cs="Times New Roman"/>
                <w:bCs/>
                <w:i/>
                <w:iCs/>
                <w:color w:val="auto"/>
                <w:kern w:val="2"/>
                <w:sz w:val="24"/>
                <w:szCs w:val="20"/>
                <w:vertAlign w:val="subscript"/>
                <w:lang w:val="en-US" w:eastAsia="zh-CN" w:bidi="ar"/>
              </w:rPr>
              <w:t>c</w:t>
            </w:r>
            <w:r>
              <w:rPr>
                <w:rFonts w:hint="eastAsia" w:ascii="Times New Roman" w:hAnsi="Times New Roman" w:eastAsia="宋体" w:cs="宋体"/>
                <w:bCs/>
                <w:color w:val="auto"/>
                <w:kern w:val="2"/>
                <w:sz w:val="24"/>
                <w:szCs w:val="20"/>
                <w:lang w:val="en-US" w:eastAsia="zh-CN" w:bidi="ar"/>
              </w:rPr>
              <w:t>为</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宋体"/>
                <w:bCs/>
                <w:color w:val="auto"/>
                <w:kern w:val="2"/>
                <w:sz w:val="24"/>
                <w:szCs w:val="20"/>
                <w:lang w:val="en-US" w:eastAsia="zh-CN" w:bidi="ar"/>
              </w:rPr>
              <w:t>0.1</w:t>
            </w:r>
            <w:r>
              <w:rPr>
                <w:rFonts w:hint="eastAsia" w:cs="Times New Roman"/>
                <w:bCs/>
                <w:color w:val="auto"/>
                <w:kern w:val="2"/>
                <w:sz w:val="24"/>
                <w:szCs w:val="20"/>
                <w:lang w:val="en-US" w:eastAsia="zh-CN" w:bidi="ar"/>
              </w:rPr>
              <w:t>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，二噁英类</w:t>
            </w:r>
            <w:r>
              <w:rPr>
                <w:rFonts w:hint="default" w:ascii="Times New Roman" w:hAnsi="Times New Roman" w:eastAsia="宋体" w:cs="Times New Roman"/>
                <w:bCs/>
                <w:i/>
                <w:iCs/>
                <w:color w:val="auto"/>
                <w:kern w:val="2"/>
                <w:sz w:val="24"/>
                <w:szCs w:val="20"/>
                <w:lang w:val="en-US" w:eastAsia="zh-CN" w:bidi="ar"/>
              </w:rPr>
              <w:t>c</w:t>
            </w:r>
            <w:r>
              <w:rPr>
                <w:rFonts w:hint="default" w:ascii="Times New Roman" w:hAnsi="Times New Roman" w:eastAsia="宋体" w:cs="Times New Roman"/>
                <w:bCs/>
                <w:i/>
                <w:iCs/>
                <w:color w:val="auto"/>
                <w:kern w:val="2"/>
                <w:sz w:val="24"/>
                <w:szCs w:val="20"/>
                <w:vertAlign w:val="subscript"/>
                <w:lang w:val="en-US" w:eastAsia="zh-CN" w:bidi="ar"/>
              </w:rPr>
              <w:t>m</w:t>
            </w:r>
            <w:r>
              <w:rPr>
                <w:rFonts w:hint="eastAsia" w:ascii="Times New Roman" w:hAnsi="Times New Roman" w:eastAsia="宋体" w:cs="宋体"/>
                <w:bCs/>
                <w:color w:val="auto"/>
                <w:kern w:val="2"/>
                <w:sz w:val="24"/>
                <w:szCs w:val="20"/>
                <w:lang w:val="en-US" w:eastAsia="zh-CN" w:bidi="ar"/>
              </w:rPr>
              <w:t>为</w:t>
            </w:r>
            <w:r>
              <w:rPr>
                <w:rFonts w:hint="eastAsia" w:cs="Times New Roman"/>
                <w:bCs/>
                <w:color w:val="auto"/>
                <w:kern w:val="2"/>
                <w:sz w:val="24"/>
                <w:szCs w:val="20"/>
                <w:lang w:val="en-US" w:eastAsia="zh-CN" w:bidi="ar"/>
              </w:rPr>
              <w:t>1.2</w:t>
            </w:r>
            <w:r>
              <w:rPr>
                <w:rFonts w:hint="eastAsia" w:cs="宋体"/>
                <w:bCs/>
                <w:color w:val="auto"/>
                <w:kern w:val="2"/>
                <w:sz w:val="24"/>
                <w:szCs w:val="20"/>
                <w:lang w:val="en-US" w:eastAsia="zh-CN" w:bidi="ar"/>
              </w:rPr>
              <w:t>×10</w:t>
            </w:r>
            <w:r>
              <w:rPr>
                <w:rFonts w:hint="eastAsia" w:cs="宋体"/>
                <w:bCs/>
                <w:color w:val="auto"/>
                <w:kern w:val="2"/>
                <w:sz w:val="24"/>
                <w:szCs w:val="20"/>
                <w:vertAlign w:val="superscript"/>
                <w:lang w:val="en-US" w:eastAsia="zh-CN" w:bidi="ar"/>
              </w:rPr>
              <w:t>-9</w:t>
            </w:r>
            <w:r>
              <w:rPr>
                <w:rFonts w:hint="eastAsia"/>
                <w:color w:val="auto"/>
                <w:sz w:val="24"/>
                <w:szCs w:val="32"/>
              </w:rPr>
              <w:t>TEQ</w:t>
            </w:r>
            <w:r>
              <w:rPr>
                <w:rFonts w:hint="eastAsia" w:cs="Times New Roman"/>
                <w:bCs/>
                <w:color w:val="auto"/>
                <w:kern w:val="2"/>
                <w:sz w:val="24"/>
                <w:szCs w:val="20"/>
                <w:lang w:val="en-US" w:eastAsia="zh-CN" w:bidi="ar"/>
              </w:rPr>
              <w:t>mg/m</w:t>
            </w:r>
            <w:r>
              <w:rPr>
                <w:rFonts w:hint="eastAsia" w:cs="Times New Roman"/>
                <w:bCs/>
                <w:color w:val="auto"/>
                <w:kern w:val="2"/>
                <w:sz w:val="24"/>
                <w:szCs w:val="20"/>
                <w:vertAlign w:val="superscript"/>
                <w:lang w:val="en-US" w:eastAsia="zh-CN" w:bidi="ar"/>
              </w:rPr>
              <w:t>3</w:t>
            </w:r>
            <w:r>
              <w:rPr>
                <w:rFonts w:hint="eastAsia" w:cs="Times New Roman"/>
                <w:bCs/>
                <w:color w:val="auto"/>
                <w:kern w:val="2"/>
                <w:sz w:val="24"/>
                <w:szCs w:val="20"/>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宋体"/>
                <w:bCs/>
                <w:color w:val="auto"/>
                <w:kern w:val="2"/>
                <w:sz w:val="24"/>
                <w:szCs w:val="20"/>
                <w:lang w:val="en-US" w:eastAsia="zh-CN" w:bidi="ar"/>
              </w:rPr>
            </w:pPr>
            <w:r>
              <w:rPr>
                <w:rFonts w:hint="default" w:ascii="Times New Roman" w:hAnsi="Times New Roman" w:eastAsia="宋体" w:cs="Times New Roman"/>
                <w:bCs/>
                <w:i/>
                <w:iCs/>
                <w:color w:val="auto"/>
                <w:kern w:val="2"/>
                <w:sz w:val="24"/>
                <w:szCs w:val="20"/>
                <w:lang w:val="en-US" w:eastAsia="zh-CN" w:bidi="ar"/>
              </w:rPr>
              <w:t>r</w:t>
            </w:r>
            <w:r>
              <w:rPr>
                <w:rFonts w:hint="eastAsia" w:ascii="Times New Roman" w:hAnsi="Times New Roman" w:eastAsia="宋体" w:cs="宋体"/>
                <w:bCs/>
                <w:color w:val="auto"/>
                <w:kern w:val="2"/>
                <w:sz w:val="24"/>
                <w:szCs w:val="20"/>
                <w:lang w:val="en-US" w:eastAsia="zh-CN" w:bidi="ar"/>
              </w:rPr>
              <w:t>为大气有害物质无组织排放源所在生产单元的等效半径，以</w:t>
            </w:r>
            <w:r>
              <w:rPr>
                <w:rFonts w:hint="eastAsia" w:cs="宋体"/>
                <w:bCs/>
                <w:color w:val="auto"/>
                <w:kern w:val="2"/>
                <w:sz w:val="24"/>
                <w:szCs w:val="20"/>
                <w:lang w:val="en-US" w:eastAsia="zh-CN" w:bidi="ar"/>
              </w:rPr>
              <w:t>火化间和遗物祭品焚烧间总面积/π的平方根计</w:t>
            </w:r>
            <w:r>
              <w:rPr>
                <w:rFonts w:hint="eastAsia" w:ascii="Times New Roman" w:hAnsi="Times New Roman" w:eastAsia="宋体" w:cs="宋体"/>
                <w:bCs/>
                <w:color w:val="auto"/>
                <w:kern w:val="2"/>
                <w:sz w:val="24"/>
                <w:szCs w:val="20"/>
                <w:lang w:val="en-US" w:eastAsia="zh-CN" w:bidi="ar"/>
              </w:rPr>
              <w:t>，本项目</w:t>
            </w:r>
            <w:r>
              <w:rPr>
                <w:rFonts w:hint="default" w:ascii="Times New Roman" w:hAnsi="Times New Roman" w:eastAsia="宋体" w:cs="Times New Roman"/>
                <w:bCs/>
                <w:i/>
                <w:iCs/>
                <w:color w:val="auto"/>
                <w:kern w:val="2"/>
                <w:sz w:val="24"/>
                <w:szCs w:val="20"/>
                <w:lang w:val="en-US" w:eastAsia="zh-CN" w:bidi="ar"/>
              </w:rPr>
              <w:t>r</w:t>
            </w:r>
            <w:r>
              <w:rPr>
                <w:rFonts w:hint="eastAsia" w:ascii="Times New Roman" w:hAnsi="Times New Roman" w:eastAsia="宋体" w:cs="宋体"/>
                <w:bCs/>
                <w:color w:val="auto"/>
                <w:kern w:val="2"/>
                <w:sz w:val="24"/>
                <w:szCs w:val="20"/>
                <w:lang w:val="en-US" w:eastAsia="zh-CN" w:bidi="ar"/>
              </w:rPr>
              <w:t>值为</w:t>
            </w:r>
            <w:r>
              <w:rPr>
                <w:rFonts w:hint="eastAsia" w:cs="Times New Roman"/>
                <w:bCs/>
                <w:color w:val="auto"/>
                <w:kern w:val="2"/>
                <w:sz w:val="24"/>
                <w:szCs w:val="20"/>
                <w:lang w:val="en-US" w:eastAsia="zh-CN" w:bidi="ar"/>
              </w:rPr>
              <w:t>22.5</w:t>
            </w:r>
            <w:r>
              <w:rPr>
                <w:rFonts w:hint="default" w:ascii="Times New Roman" w:hAnsi="Times New Roman" w:eastAsia="宋体" w:cs="Times New Roman"/>
                <w:bCs/>
                <w:color w:val="auto"/>
                <w:kern w:val="2"/>
                <w:sz w:val="24"/>
                <w:szCs w:val="20"/>
                <w:lang w:val="en-US" w:eastAsia="zh-CN" w:bidi="ar"/>
              </w:rPr>
              <w:t>m</w:t>
            </w:r>
            <w:r>
              <w:rPr>
                <w:rFonts w:hint="eastAsia" w:ascii="Times New Roman" w:hAnsi="Times New Roman" w:eastAsia="宋体" w:cs="宋体"/>
                <w:bCs/>
                <w:color w:val="auto"/>
                <w:kern w:val="2"/>
                <w:sz w:val="24"/>
                <w:szCs w:val="20"/>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宋体"/>
                <w:bCs/>
                <w:color w:val="auto"/>
                <w:kern w:val="2"/>
                <w:sz w:val="24"/>
                <w:szCs w:val="20"/>
                <w:lang w:val="en-US" w:eastAsia="zh-CN" w:bidi="ar"/>
              </w:rPr>
            </w:pPr>
            <w:r>
              <w:rPr>
                <w:rFonts w:hint="eastAsia" w:ascii="Times New Roman" w:hAnsi="Times New Roman" w:eastAsia="宋体" w:cs="宋体"/>
                <w:bCs/>
                <w:color w:val="auto"/>
                <w:kern w:val="2"/>
                <w:sz w:val="24"/>
                <w:szCs w:val="20"/>
                <w:lang w:val="en-US" w:eastAsia="zh-CN" w:bidi="ar"/>
              </w:rPr>
              <w:t>根据《大气有害物质无组织排放卫生防护距离推导技术导则》中表</w:t>
            </w:r>
            <w:r>
              <w:rPr>
                <w:rFonts w:hint="default" w:ascii="Times New Roman" w:hAnsi="Times New Roman" w:eastAsia="宋体" w:cs="Times New Roman"/>
                <w:bCs/>
                <w:color w:val="auto"/>
                <w:kern w:val="2"/>
                <w:sz w:val="24"/>
                <w:szCs w:val="20"/>
                <w:lang w:val="en-US" w:eastAsia="zh-CN" w:bidi="ar"/>
              </w:rPr>
              <w:t>1</w:t>
            </w:r>
            <w:r>
              <w:rPr>
                <w:rFonts w:hint="eastAsia" w:ascii="Times New Roman" w:hAnsi="Times New Roman" w:eastAsia="宋体" w:cs="宋体"/>
                <w:bCs/>
                <w:color w:val="auto"/>
                <w:kern w:val="2"/>
                <w:sz w:val="24"/>
                <w:szCs w:val="20"/>
                <w:lang w:val="en-US" w:eastAsia="zh-CN" w:bidi="ar"/>
              </w:rPr>
              <w:t>，本项目</w:t>
            </w:r>
            <w:r>
              <w:rPr>
                <w:rFonts w:hint="default" w:ascii="Times New Roman" w:hAnsi="Times New Roman" w:eastAsia="宋体" w:cs="Times New Roman"/>
                <w:bCs/>
                <w:i/>
                <w:iCs/>
                <w:color w:val="auto"/>
                <w:kern w:val="2"/>
                <w:sz w:val="24"/>
                <w:szCs w:val="20"/>
                <w:lang w:val="en-US" w:eastAsia="zh-CN" w:bidi="ar"/>
              </w:rPr>
              <w:t>A</w:t>
            </w:r>
            <w:r>
              <w:rPr>
                <w:rFonts w:hint="eastAsia" w:ascii="Times New Roman" w:hAnsi="Times New Roman" w:eastAsia="宋体" w:cs="宋体"/>
                <w:bCs/>
                <w:i/>
                <w:iCs/>
                <w:color w:val="auto"/>
                <w:kern w:val="2"/>
                <w:sz w:val="24"/>
                <w:szCs w:val="20"/>
                <w:lang w:val="en-US" w:eastAsia="zh-CN" w:bidi="ar"/>
              </w:rPr>
              <w:t>、</w:t>
            </w:r>
            <w:r>
              <w:rPr>
                <w:rFonts w:hint="default" w:ascii="Times New Roman" w:hAnsi="Times New Roman" w:eastAsia="宋体" w:cs="Times New Roman"/>
                <w:bCs/>
                <w:i/>
                <w:iCs/>
                <w:color w:val="auto"/>
                <w:kern w:val="2"/>
                <w:sz w:val="24"/>
                <w:szCs w:val="20"/>
                <w:lang w:val="en-US" w:eastAsia="zh-CN" w:bidi="ar"/>
              </w:rPr>
              <w:t>B</w:t>
            </w:r>
            <w:r>
              <w:rPr>
                <w:rFonts w:hint="eastAsia" w:ascii="Times New Roman" w:hAnsi="Times New Roman" w:eastAsia="宋体" w:cs="宋体"/>
                <w:bCs/>
                <w:i/>
                <w:iCs/>
                <w:color w:val="auto"/>
                <w:kern w:val="2"/>
                <w:sz w:val="24"/>
                <w:szCs w:val="20"/>
                <w:lang w:val="en-US" w:eastAsia="zh-CN" w:bidi="ar"/>
              </w:rPr>
              <w:t>、</w:t>
            </w:r>
            <w:r>
              <w:rPr>
                <w:rFonts w:hint="default" w:ascii="Times New Roman" w:hAnsi="Times New Roman" w:eastAsia="宋体" w:cs="Times New Roman"/>
                <w:bCs/>
                <w:i/>
                <w:iCs/>
                <w:color w:val="auto"/>
                <w:kern w:val="2"/>
                <w:sz w:val="24"/>
                <w:szCs w:val="20"/>
                <w:lang w:val="en-US" w:eastAsia="zh-CN" w:bidi="ar"/>
              </w:rPr>
              <w:t>C</w:t>
            </w:r>
            <w:r>
              <w:rPr>
                <w:rFonts w:hint="eastAsia" w:ascii="Times New Roman" w:hAnsi="Times New Roman" w:eastAsia="宋体" w:cs="宋体"/>
                <w:bCs/>
                <w:i/>
                <w:iCs/>
                <w:color w:val="auto"/>
                <w:kern w:val="2"/>
                <w:sz w:val="24"/>
                <w:szCs w:val="20"/>
                <w:lang w:val="en-US" w:eastAsia="zh-CN" w:bidi="ar"/>
              </w:rPr>
              <w:t>、</w:t>
            </w:r>
            <w:r>
              <w:rPr>
                <w:rFonts w:hint="default" w:ascii="Times New Roman" w:hAnsi="Times New Roman" w:eastAsia="宋体" w:cs="Times New Roman"/>
                <w:bCs/>
                <w:i/>
                <w:iCs/>
                <w:color w:val="auto"/>
                <w:kern w:val="2"/>
                <w:sz w:val="24"/>
                <w:szCs w:val="20"/>
                <w:lang w:val="en-US" w:eastAsia="zh-CN" w:bidi="ar"/>
              </w:rPr>
              <w:t>D</w:t>
            </w:r>
            <w:r>
              <w:rPr>
                <w:rFonts w:hint="eastAsia" w:ascii="Times New Roman" w:hAnsi="Times New Roman" w:eastAsia="宋体" w:cs="宋体"/>
                <w:bCs/>
                <w:color w:val="auto"/>
                <w:kern w:val="2"/>
                <w:sz w:val="24"/>
                <w:szCs w:val="20"/>
                <w:lang w:val="en-US" w:eastAsia="zh-CN" w:bidi="ar"/>
              </w:rPr>
              <w:t>取值分别为</w:t>
            </w:r>
            <w:r>
              <w:rPr>
                <w:rFonts w:hint="default" w:ascii="Times New Roman" w:hAnsi="Times New Roman" w:eastAsia="宋体" w:cs="Times New Roman"/>
                <w:bCs/>
                <w:color w:val="auto"/>
                <w:kern w:val="2"/>
                <w:sz w:val="24"/>
                <w:szCs w:val="20"/>
                <w:lang w:val="en-US" w:eastAsia="zh-CN" w:bidi="ar"/>
              </w:rPr>
              <w:t>400</w:t>
            </w:r>
            <w:r>
              <w:rPr>
                <w:rFonts w:hint="eastAsia" w:ascii="Times New Roman" w:hAnsi="Times New Roman" w:eastAsia="宋体" w:cs="宋体"/>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0.01</w:t>
            </w:r>
            <w:r>
              <w:rPr>
                <w:rFonts w:hint="eastAsia" w:ascii="Times New Roman" w:hAnsi="Times New Roman" w:eastAsia="宋体" w:cs="宋体"/>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1.85</w:t>
            </w:r>
            <w:r>
              <w:rPr>
                <w:rFonts w:hint="eastAsia" w:ascii="Times New Roman" w:hAnsi="Times New Roman" w:eastAsia="宋体" w:cs="宋体"/>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0.78</w:t>
            </w:r>
            <w:r>
              <w:rPr>
                <w:rFonts w:hint="eastAsia" w:ascii="Times New Roman" w:hAnsi="Times New Roman" w:eastAsia="宋体" w:cs="宋体"/>
                <w:bCs/>
                <w:color w:val="auto"/>
                <w:kern w:val="2"/>
                <w:sz w:val="24"/>
                <w:szCs w:val="20"/>
                <w:lang w:val="en-US" w:eastAsia="zh-CN" w:bidi="ar"/>
              </w:rPr>
              <w:t>，</w:t>
            </w:r>
            <w:r>
              <w:rPr>
                <w:rFonts w:hint="eastAsia" w:cs="宋体"/>
                <w:bCs/>
                <w:color w:val="auto"/>
                <w:kern w:val="2"/>
                <w:sz w:val="24"/>
                <w:szCs w:val="20"/>
                <w:lang w:val="en-US" w:eastAsia="zh-CN" w:bidi="ar"/>
              </w:rPr>
              <w:t>五台县</w:t>
            </w:r>
            <w:r>
              <w:rPr>
                <w:rFonts w:hint="eastAsia" w:ascii="Times New Roman" w:hAnsi="Times New Roman" w:eastAsia="宋体" w:cs="宋体"/>
                <w:bCs/>
                <w:color w:val="auto"/>
                <w:kern w:val="2"/>
                <w:sz w:val="24"/>
                <w:szCs w:val="20"/>
                <w:lang w:val="en-US" w:eastAsia="zh-CN" w:bidi="ar"/>
              </w:rPr>
              <w:t>近五年平均风速为</w:t>
            </w:r>
            <w:r>
              <w:rPr>
                <w:rFonts w:hint="eastAsia" w:cs="Times New Roman"/>
                <w:bCs/>
                <w:color w:val="auto"/>
                <w:kern w:val="2"/>
                <w:sz w:val="24"/>
                <w:szCs w:val="20"/>
                <w:lang w:val="en-US" w:eastAsia="zh-CN" w:bidi="ar"/>
              </w:rPr>
              <w:t>1.6</w:t>
            </w:r>
            <w:r>
              <w:rPr>
                <w:rFonts w:hint="default" w:ascii="Times New Roman" w:hAnsi="Times New Roman" w:eastAsia="宋体" w:cs="Times New Roman"/>
                <w:bCs/>
                <w:color w:val="auto"/>
                <w:kern w:val="2"/>
                <w:sz w:val="24"/>
                <w:szCs w:val="20"/>
                <w:lang w:val="en-US" w:eastAsia="zh-CN" w:bidi="ar"/>
              </w:rPr>
              <w:t>m/s</w:t>
            </w:r>
            <w:r>
              <w:rPr>
                <w:rFonts w:hint="eastAsia" w:ascii="Times New Roman" w:hAnsi="Times New Roman" w:eastAsia="宋体" w:cs="宋体"/>
                <w:bCs/>
                <w:color w:val="auto"/>
                <w:kern w:val="2"/>
                <w:sz w:val="24"/>
                <w:szCs w:val="20"/>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宋体"/>
                <w:bCs/>
                <w:color w:val="auto"/>
                <w:kern w:val="2"/>
                <w:sz w:val="24"/>
                <w:szCs w:val="20"/>
                <w:lang w:val="en-US" w:eastAsia="zh-CN" w:bidi="ar"/>
              </w:rPr>
            </w:pPr>
            <w:r>
              <w:rPr>
                <w:rFonts w:hint="eastAsia" w:ascii="Times New Roman" w:hAnsi="Times New Roman" w:eastAsia="宋体" w:cs="宋体"/>
                <w:bCs/>
                <w:color w:val="auto"/>
                <w:kern w:val="2"/>
                <w:sz w:val="24"/>
                <w:szCs w:val="20"/>
                <w:lang w:val="en-US" w:eastAsia="zh-CN" w:bidi="ar"/>
              </w:rPr>
              <w:t>经计算本项目</w:t>
            </w:r>
            <w:r>
              <w:rPr>
                <w:rFonts w:hint="eastAsia" w:cs="宋体"/>
                <w:bCs/>
                <w:color w:val="auto"/>
                <w:kern w:val="2"/>
                <w:sz w:val="24"/>
                <w:szCs w:val="20"/>
                <w:lang w:val="en-US" w:eastAsia="zh-CN" w:bidi="ar"/>
              </w:rPr>
              <w:t>烟尘（PM</w:t>
            </w:r>
            <w:r>
              <w:rPr>
                <w:rFonts w:hint="eastAsia" w:cs="宋体"/>
                <w:bCs/>
                <w:color w:val="auto"/>
                <w:kern w:val="2"/>
                <w:sz w:val="24"/>
                <w:szCs w:val="20"/>
                <w:vertAlign w:val="subscript"/>
                <w:lang w:val="en-US" w:eastAsia="zh-CN" w:bidi="ar"/>
              </w:rPr>
              <w:t>10</w:t>
            </w:r>
            <w:r>
              <w:rPr>
                <w:rFonts w:hint="eastAsia" w:cs="宋体"/>
                <w:bCs/>
                <w:color w:val="auto"/>
                <w:kern w:val="2"/>
                <w:sz w:val="24"/>
                <w:szCs w:val="20"/>
                <w:lang w:val="en-US" w:eastAsia="zh-CN" w:bidi="ar"/>
              </w:rPr>
              <w:t>）</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131.366</w:t>
            </w:r>
            <w:r>
              <w:rPr>
                <w:rFonts w:hint="eastAsia" w:ascii="Times New Roman" w:hAnsi="Times New Roman" w:eastAsia="宋体" w:cs="宋体"/>
                <w:bCs/>
                <w:color w:val="auto"/>
                <w:kern w:val="2"/>
                <w:sz w:val="24"/>
                <w:szCs w:val="20"/>
                <w:lang w:val="en-US" w:eastAsia="zh-CN" w:bidi="ar"/>
              </w:rPr>
              <w:t>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二氧化硫</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141.138</w:t>
            </w:r>
            <w:r>
              <w:rPr>
                <w:rFonts w:hint="eastAsia" w:ascii="Times New Roman" w:hAnsi="Times New Roman" w:eastAsia="宋体" w:cs="宋体"/>
                <w:bCs/>
                <w:color w:val="auto"/>
                <w:kern w:val="2"/>
                <w:sz w:val="24"/>
                <w:szCs w:val="20"/>
                <w:lang w:val="en-US" w:eastAsia="zh-CN" w:bidi="ar"/>
              </w:rPr>
              <w:t>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氮氧化物</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650.248</w:t>
            </w:r>
            <w:r>
              <w:rPr>
                <w:rFonts w:hint="eastAsia" w:ascii="Times New Roman" w:hAnsi="Times New Roman" w:eastAsia="宋体" w:cs="宋体"/>
                <w:bCs/>
                <w:color w:val="auto"/>
                <w:kern w:val="2"/>
                <w:sz w:val="24"/>
                <w:szCs w:val="20"/>
                <w:lang w:val="en-US" w:eastAsia="zh-CN" w:bidi="ar"/>
              </w:rPr>
              <w:t>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一氧化碳</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30.554</w:t>
            </w:r>
            <w:r>
              <w:rPr>
                <w:rFonts w:hint="eastAsia" w:ascii="Times New Roman" w:hAnsi="Times New Roman" w:eastAsia="宋体" w:cs="宋体"/>
                <w:bCs/>
                <w:color w:val="auto"/>
                <w:kern w:val="2"/>
                <w:sz w:val="24"/>
                <w:szCs w:val="20"/>
                <w:lang w:val="en-US" w:eastAsia="zh-CN" w:bidi="ar"/>
              </w:rPr>
              <w:t>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氯化氢</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308.580</w:t>
            </w:r>
            <w:r>
              <w:rPr>
                <w:rFonts w:hint="eastAsia" w:ascii="Times New Roman" w:hAnsi="Times New Roman" w:eastAsia="宋体" w:cs="宋体"/>
                <w:bCs/>
                <w:color w:val="auto"/>
                <w:kern w:val="2"/>
                <w:sz w:val="24"/>
                <w:szCs w:val="20"/>
                <w:lang w:val="en-US" w:eastAsia="zh-CN" w:bidi="ar"/>
              </w:rPr>
              <w:t>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汞</w:t>
            </w:r>
            <w:r>
              <w:rPr>
                <w:rFonts w:hint="eastAsia" w:ascii="Times New Roman" w:hAnsi="Times New Roman" w:eastAsia="宋体" w:cs="宋体"/>
                <w:bCs/>
                <w:color w:val="auto"/>
                <w:kern w:val="2"/>
                <w:sz w:val="24"/>
                <w:szCs w:val="20"/>
                <w:lang w:val="en-US" w:eastAsia="zh-CN" w:bidi="ar"/>
              </w:rPr>
              <w:t>卫生防护距离初值为0.890米</w:t>
            </w:r>
            <w:r>
              <w:rPr>
                <w:rFonts w:hint="eastAsia" w:cs="宋体"/>
                <w:bCs/>
                <w:color w:val="auto"/>
                <w:kern w:val="2"/>
                <w:sz w:val="24"/>
                <w:szCs w:val="20"/>
                <w:lang w:val="en-US" w:eastAsia="zh-CN" w:bidi="ar"/>
              </w:rPr>
              <w:t>，</w:t>
            </w:r>
            <w:r>
              <w:rPr>
                <w:rFonts w:hint="eastAsia" w:cs="Times New Roman"/>
                <w:bCs/>
                <w:color w:val="auto"/>
                <w:kern w:val="2"/>
                <w:sz w:val="24"/>
                <w:szCs w:val="20"/>
                <w:lang w:val="en-US" w:eastAsia="zh-CN" w:bidi="ar"/>
              </w:rPr>
              <w:t>二噁英类</w:t>
            </w:r>
            <w:r>
              <w:rPr>
                <w:rFonts w:hint="eastAsia" w:ascii="Times New Roman" w:hAnsi="Times New Roman" w:eastAsia="宋体" w:cs="宋体"/>
                <w:bCs/>
                <w:color w:val="auto"/>
                <w:kern w:val="2"/>
                <w:sz w:val="24"/>
                <w:szCs w:val="20"/>
                <w:lang w:val="en-US" w:eastAsia="zh-CN" w:bidi="ar"/>
              </w:rPr>
              <w:t>卫生防护距离初值为</w:t>
            </w:r>
            <w:r>
              <w:rPr>
                <w:rFonts w:hint="eastAsia" w:cs="Times New Roman"/>
                <w:bCs/>
                <w:color w:val="auto"/>
                <w:kern w:val="2"/>
                <w:sz w:val="24"/>
                <w:szCs w:val="20"/>
                <w:lang w:val="en-US" w:eastAsia="zh-CN" w:bidi="ar"/>
              </w:rPr>
              <w:t>368.626</w:t>
            </w:r>
            <w:r>
              <w:rPr>
                <w:rFonts w:hint="eastAsia" w:ascii="Times New Roman" w:hAnsi="Times New Roman" w:eastAsia="宋体" w:cs="宋体"/>
                <w:bCs/>
                <w:color w:val="auto"/>
                <w:kern w:val="2"/>
                <w:sz w:val="24"/>
                <w:szCs w:val="20"/>
                <w:lang w:val="en-US" w:eastAsia="zh-CN" w:bidi="ar"/>
              </w:rPr>
              <w:t>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宋体"/>
                <w:bCs/>
                <w:color w:val="auto"/>
                <w:kern w:val="2"/>
                <w:sz w:val="24"/>
                <w:szCs w:val="20"/>
                <w:lang w:val="en-US" w:eastAsia="zh-CN" w:bidi="ar"/>
              </w:rPr>
              <w:t>烟尘（PM</w:t>
            </w:r>
            <w:r>
              <w:rPr>
                <w:rFonts w:hint="eastAsia" w:cs="宋体"/>
                <w:bCs/>
                <w:color w:val="auto"/>
                <w:kern w:val="2"/>
                <w:sz w:val="24"/>
                <w:szCs w:val="20"/>
                <w:vertAlign w:val="subscript"/>
                <w:lang w:val="en-US" w:eastAsia="zh-CN" w:bidi="ar"/>
              </w:rPr>
              <w:t>10</w:t>
            </w:r>
            <w:r>
              <w:rPr>
                <w:rFonts w:hint="eastAsia" w:cs="宋体"/>
                <w:bCs/>
                <w:color w:val="auto"/>
                <w:kern w:val="2"/>
                <w:sz w:val="24"/>
                <w:szCs w:val="20"/>
                <w:lang w:val="en-US" w:eastAsia="zh-CN" w:bidi="ar"/>
              </w:rPr>
              <w:t>）</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rPr>
            </w:pPr>
            <w:r>
              <w:rPr>
                <w:rFonts w:hint="eastAsia"/>
                <w:color w:val="auto"/>
              </w:rPr>
              <w:drawing>
                <wp:inline distT="0" distB="0" distL="114300" distR="114300">
                  <wp:extent cx="5143500" cy="2266950"/>
                  <wp:effectExtent l="0" t="0" r="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21"/>
                          <a:stretch>
                            <a:fillRect/>
                          </a:stretch>
                        </pic:blipFill>
                        <pic:spPr>
                          <a:xfrm>
                            <a:off x="0" y="0"/>
                            <a:ext cx="5143500" cy="226695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Times New Roman"/>
                <w:bCs/>
                <w:color w:val="auto"/>
                <w:kern w:val="2"/>
                <w:sz w:val="24"/>
                <w:szCs w:val="20"/>
                <w:lang w:val="en-US" w:eastAsia="zh-CN" w:bidi="ar"/>
              </w:rPr>
              <w:t>二氧化硫</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rPr>
            </w:pPr>
            <w:r>
              <w:rPr>
                <w:rFonts w:hint="eastAsia"/>
                <w:color w:val="auto"/>
              </w:rPr>
              <w:drawing>
                <wp:inline distT="0" distB="0" distL="114300" distR="114300">
                  <wp:extent cx="5143500" cy="2247900"/>
                  <wp:effectExtent l="0" t="0" r="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2"/>
                          <a:stretch>
                            <a:fillRect/>
                          </a:stretch>
                        </pic:blipFill>
                        <pic:spPr>
                          <a:xfrm>
                            <a:off x="0" y="0"/>
                            <a:ext cx="5143500" cy="224790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Times New Roman"/>
                <w:bCs/>
                <w:color w:val="auto"/>
                <w:kern w:val="2"/>
                <w:sz w:val="24"/>
                <w:szCs w:val="20"/>
                <w:lang w:val="en-US" w:eastAsia="zh-CN" w:bidi="ar"/>
              </w:rPr>
              <w:t>氮氧化物</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rPr>
            </w:pPr>
            <w:r>
              <w:rPr>
                <w:rFonts w:hint="eastAsia"/>
                <w:color w:val="auto"/>
              </w:rPr>
              <w:drawing>
                <wp:inline distT="0" distB="0" distL="114300" distR="114300">
                  <wp:extent cx="5162550" cy="2286000"/>
                  <wp:effectExtent l="0" t="0" r="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3"/>
                          <a:stretch>
                            <a:fillRect/>
                          </a:stretch>
                        </pic:blipFill>
                        <pic:spPr>
                          <a:xfrm>
                            <a:off x="0" y="0"/>
                            <a:ext cx="5162550" cy="228600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Times New Roman"/>
                <w:bCs/>
                <w:color w:val="auto"/>
                <w:kern w:val="2"/>
                <w:sz w:val="24"/>
                <w:szCs w:val="20"/>
                <w:lang w:val="en-US" w:eastAsia="zh-CN" w:bidi="ar"/>
              </w:rPr>
              <w:t>一氧化碳</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Cs/>
                <w:color w:val="auto"/>
                <w:kern w:val="2"/>
                <w:sz w:val="24"/>
                <w:szCs w:val="20"/>
                <w:lang w:val="en-US" w:eastAsia="zh-CN" w:bidi="ar"/>
              </w:rPr>
            </w:pPr>
            <w:r>
              <w:rPr>
                <w:rFonts w:hint="eastAsia"/>
                <w:color w:val="auto"/>
              </w:rPr>
              <w:drawing>
                <wp:inline distT="0" distB="0" distL="114300" distR="114300">
                  <wp:extent cx="5124450" cy="2257425"/>
                  <wp:effectExtent l="0" t="0" r="0" b="952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24"/>
                          <a:stretch>
                            <a:fillRect/>
                          </a:stretch>
                        </pic:blipFill>
                        <pic:spPr>
                          <a:xfrm>
                            <a:off x="0" y="0"/>
                            <a:ext cx="5124450" cy="22574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bCs/>
                <w:color w:val="auto"/>
                <w:kern w:val="2"/>
                <w:sz w:val="24"/>
                <w:szCs w:val="20"/>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宋体"/>
                <w:bCs/>
                <w:color w:val="auto"/>
                <w:kern w:val="2"/>
                <w:sz w:val="24"/>
                <w:szCs w:val="20"/>
                <w:lang w:val="en-US" w:eastAsia="zh-CN" w:bidi="ar"/>
              </w:rPr>
            </w:pPr>
            <w:r>
              <w:rPr>
                <w:rFonts w:hint="eastAsia" w:cs="Times New Roman"/>
                <w:bCs/>
                <w:color w:val="auto"/>
                <w:kern w:val="2"/>
                <w:sz w:val="24"/>
                <w:szCs w:val="20"/>
                <w:lang w:val="en-US" w:eastAsia="zh-CN" w:bidi="ar"/>
              </w:rPr>
              <w:t>氯化氢</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rPr>
            </w:pPr>
            <w:r>
              <w:rPr>
                <w:rFonts w:hint="eastAsia"/>
                <w:color w:val="auto"/>
              </w:rPr>
              <w:drawing>
                <wp:inline distT="0" distB="0" distL="114300" distR="114300">
                  <wp:extent cx="5114925" cy="2276475"/>
                  <wp:effectExtent l="0" t="0" r="9525" b="952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5"/>
                          <a:stretch>
                            <a:fillRect/>
                          </a:stretch>
                        </pic:blipFill>
                        <pic:spPr>
                          <a:xfrm>
                            <a:off x="0" y="0"/>
                            <a:ext cx="5114925" cy="227647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Times New Roman"/>
                <w:bCs/>
                <w:color w:val="auto"/>
                <w:kern w:val="2"/>
                <w:sz w:val="24"/>
                <w:szCs w:val="20"/>
                <w:lang w:val="en-US" w:eastAsia="zh-CN" w:bidi="ar"/>
              </w:rPr>
              <w:t>汞</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rPr>
            </w:pPr>
            <w:r>
              <w:rPr>
                <w:rFonts w:hint="eastAsia"/>
                <w:color w:val="auto"/>
              </w:rPr>
              <w:drawing>
                <wp:inline distT="0" distB="0" distL="114300" distR="114300">
                  <wp:extent cx="5114925" cy="2276475"/>
                  <wp:effectExtent l="0" t="0" r="9525" b="952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6"/>
                          <a:stretch>
                            <a:fillRect/>
                          </a:stretch>
                        </pic:blipFill>
                        <pic:spPr>
                          <a:xfrm>
                            <a:off x="0" y="0"/>
                            <a:ext cx="5114925" cy="227647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宋体"/>
                <w:bCs/>
                <w:color w:val="auto"/>
                <w:kern w:val="2"/>
                <w:sz w:val="24"/>
                <w:szCs w:val="20"/>
                <w:lang w:val="en-US" w:eastAsia="zh-CN" w:bidi="ar"/>
              </w:rPr>
            </w:pPr>
            <w:r>
              <w:rPr>
                <w:rFonts w:hint="eastAsia" w:cs="Times New Roman"/>
                <w:bCs/>
                <w:color w:val="auto"/>
                <w:kern w:val="2"/>
                <w:sz w:val="24"/>
                <w:szCs w:val="20"/>
                <w:lang w:val="en-US" w:eastAsia="zh-CN" w:bidi="ar"/>
              </w:rPr>
              <w:t>二噁英类</w:t>
            </w:r>
            <w:r>
              <w:rPr>
                <w:rFonts w:hint="eastAsia" w:ascii="Times New Roman" w:hAnsi="Times New Roman" w:eastAsia="宋体" w:cs="宋体"/>
                <w:bCs/>
                <w:color w:val="auto"/>
                <w:kern w:val="2"/>
                <w:sz w:val="24"/>
                <w:szCs w:val="20"/>
                <w:lang w:val="en-US" w:eastAsia="zh-CN" w:bidi="ar"/>
              </w:rPr>
              <w:t>卫生防护距离</w:t>
            </w:r>
            <w:r>
              <w:rPr>
                <w:rFonts w:hint="eastAsia" w:cs="宋体"/>
                <w:bCs/>
                <w:color w:val="auto"/>
                <w:kern w:val="2"/>
                <w:sz w:val="24"/>
                <w:szCs w:val="20"/>
                <w:lang w:val="en-US" w:eastAsia="zh-CN" w:bidi="ar"/>
              </w:rPr>
              <w:t>计算结果：</w:t>
            </w:r>
          </w:p>
          <w:p>
            <w:pPr>
              <w:keepNext w:val="0"/>
              <w:keepLines w:val="0"/>
              <w:widowControl w:val="0"/>
              <w:suppressLineNumbers w:val="0"/>
              <w:spacing w:before="0" w:beforeAutospacing="0" w:after="0" w:afterAutospacing="0" w:line="240" w:lineRule="auto"/>
              <w:ind w:left="0" w:right="0" w:firstLine="0" w:firstLineChars="0"/>
              <w:jc w:val="center"/>
              <w:rPr>
                <w:rFonts w:hint="eastAsia"/>
                <w:color w:val="auto"/>
                <w:lang w:val="en-US"/>
              </w:rPr>
            </w:pPr>
            <w:r>
              <w:rPr>
                <w:rFonts w:hint="eastAsia"/>
                <w:color w:val="auto"/>
              </w:rPr>
              <w:drawing>
                <wp:inline distT="0" distB="0" distL="114300" distR="114300">
                  <wp:extent cx="5162550" cy="2314575"/>
                  <wp:effectExtent l="0" t="0" r="0" b="9525"/>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27"/>
                          <a:stretch>
                            <a:fillRect/>
                          </a:stretch>
                        </pic:blipFill>
                        <pic:spPr>
                          <a:xfrm>
                            <a:off x="0" y="0"/>
                            <a:ext cx="5162550" cy="231457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both"/>
              <w:textAlignment w:val="auto"/>
              <w:rPr>
                <w:rFonts w:hint="eastAsia" w:ascii="Times New Roman" w:hAnsi="Times New Roman" w:eastAsia="宋体" w:cs="宋体"/>
                <w:bCs/>
                <w:color w:val="auto"/>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both"/>
              <w:textAlignment w:val="auto"/>
              <w:rPr>
                <w:rFonts w:hint="eastAsia" w:ascii="Times New Roman" w:hAnsi="Times New Roman" w:eastAsia="宋体" w:cs="宋体"/>
                <w:bCs/>
                <w:color w:val="auto"/>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both"/>
              <w:textAlignment w:val="auto"/>
              <w:rPr>
                <w:rFonts w:hint="eastAsia" w:ascii="Times New Roman" w:hAnsi="Times New Roman" w:eastAsia="宋体" w:cs="宋体"/>
                <w:bCs/>
                <w:color w:val="auto"/>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both"/>
              <w:textAlignment w:val="auto"/>
              <w:rPr>
                <w:rFonts w:hint="default" w:cs="Times New Roman"/>
                <w:bCs/>
                <w:color w:val="auto"/>
                <w:kern w:val="2"/>
                <w:sz w:val="24"/>
                <w:szCs w:val="24"/>
                <w:lang w:val="en-US" w:eastAsia="zh-CN" w:bidi="ar"/>
              </w:rPr>
            </w:pPr>
            <w:r>
              <w:rPr>
                <w:rFonts w:hint="eastAsia" w:ascii="Times New Roman" w:hAnsi="Times New Roman" w:eastAsia="宋体" w:cs="宋体"/>
                <w:bCs/>
                <w:color w:val="auto"/>
                <w:kern w:val="2"/>
                <w:sz w:val="24"/>
                <w:szCs w:val="24"/>
                <w:lang w:val="en-US" w:eastAsia="zh-CN" w:bidi="ar"/>
              </w:rPr>
              <w:t>卫生防护距离初值大于或等于</w:t>
            </w:r>
            <w:r>
              <w:rPr>
                <w:rFonts w:hint="default" w:ascii="Times New Roman" w:hAnsi="Times New Roman" w:eastAsia="宋体" w:cs="Times New Roman"/>
                <w:bCs/>
                <w:color w:val="auto"/>
                <w:kern w:val="2"/>
                <w:sz w:val="24"/>
                <w:szCs w:val="24"/>
                <w:lang w:val="en-US" w:eastAsia="zh-CN" w:bidi="ar"/>
              </w:rPr>
              <w:t>50m</w:t>
            </w:r>
            <w:r>
              <w:rPr>
                <w:rFonts w:hint="eastAsia" w:ascii="Times New Roman" w:hAnsi="Times New Roman" w:eastAsia="宋体" w:cs="宋体"/>
                <w:bCs/>
                <w:color w:val="auto"/>
                <w:kern w:val="2"/>
                <w:sz w:val="24"/>
                <w:szCs w:val="24"/>
                <w:lang w:val="en-US" w:eastAsia="zh-CN" w:bidi="ar"/>
              </w:rPr>
              <w:t>，但小于</w:t>
            </w:r>
            <w:r>
              <w:rPr>
                <w:rFonts w:hint="default" w:ascii="Times New Roman" w:hAnsi="Times New Roman" w:eastAsia="宋体" w:cs="Times New Roman"/>
                <w:bCs/>
                <w:color w:val="auto"/>
                <w:kern w:val="2"/>
                <w:sz w:val="24"/>
                <w:szCs w:val="24"/>
                <w:lang w:val="en-US" w:eastAsia="zh-CN" w:bidi="ar"/>
              </w:rPr>
              <w:t>100m</w:t>
            </w:r>
            <w:r>
              <w:rPr>
                <w:rFonts w:hint="eastAsia" w:ascii="Times New Roman" w:hAnsi="Times New Roman" w:eastAsia="宋体" w:cs="宋体"/>
                <w:bCs/>
                <w:color w:val="auto"/>
                <w:kern w:val="2"/>
                <w:sz w:val="24"/>
                <w:szCs w:val="24"/>
                <w:lang w:val="en-US" w:eastAsia="zh-CN" w:bidi="ar"/>
              </w:rPr>
              <w:t>时，级差为</w:t>
            </w:r>
            <w:r>
              <w:rPr>
                <w:rFonts w:hint="default" w:ascii="Times New Roman" w:hAnsi="Times New Roman" w:eastAsia="宋体" w:cs="Times New Roman"/>
                <w:bCs/>
                <w:color w:val="auto"/>
                <w:kern w:val="2"/>
                <w:sz w:val="24"/>
                <w:szCs w:val="24"/>
                <w:lang w:val="en-US" w:eastAsia="zh-CN" w:bidi="ar"/>
              </w:rPr>
              <w:t>50m</w:t>
            </w:r>
            <w:r>
              <w:rPr>
                <w:rFonts w:hint="eastAsia" w:cs="Times New Roman"/>
                <w:bCs/>
                <w:color w:val="auto"/>
                <w:kern w:val="2"/>
                <w:sz w:val="24"/>
                <w:szCs w:val="24"/>
                <w:lang w:val="en-US" w:eastAsia="zh-CN" w:bidi="ar"/>
              </w:rPr>
              <w:t>；初值大于或等于100m，但小于1000m时，级差为100m；卫生防护距离初值不在统一级别的，以卫生防护距离终值较大者为准。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宋体"/>
                <w:bCs/>
                <w:color w:val="auto"/>
                <w:kern w:val="2"/>
                <w:sz w:val="24"/>
                <w:szCs w:val="20"/>
                <w:lang w:val="en-US" w:eastAsia="zh-CN" w:bidi="ar"/>
              </w:rPr>
            </w:pPr>
            <w:r>
              <w:rPr>
                <w:rFonts w:hint="eastAsia" w:ascii="Times New Roman" w:hAnsi="Times New Roman" w:eastAsia="宋体" w:cs="宋体"/>
                <w:bCs/>
                <w:color w:val="auto"/>
                <w:kern w:val="2"/>
                <w:sz w:val="24"/>
                <w:szCs w:val="24"/>
                <w:lang w:val="en-US" w:eastAsia="zh-CN" w:bidi="ar"/>
              </w:rPr>
              <w:t>因此，确定本项目卫生防护距离为</w:t>
            </w:r>
            <w:r>
              <w:rPr>
                <w:rFonts w:hint="eastAsia" w:cs="Times New Roman"/>
                <w:bCs/>
                <w:color w:val="auto"/>
                <w:kern w:val="2"/>
                <w:sz w:val="24"/>
                <w:szCs w:val="24"/>
                <w:lang w:val="en-US" w:eastAsia="zh-CN" w:bidi="ar"/>
              </w:rPr>
              <w:t>7</w:t>
            </w:r>
            <w:r>
              <w:rPr>
                <w:rFonts w:hint="default" w:ascii="Times New Roman" w:hAnsi="Times New Roman" w:eastAsia="宋体" w:cs="Times New Roman"/>
                <w:bCs/>
                <w:color w:val="auto"/>
                <w:kern w:val="2"/>
                <w:sz w:val="24"/>
                <w:szCs w:val="24"/>
                <w:lang w:val="en-US" w:eastAsia="zh-CN" w:bidi="ar"/>
              </w:rPr>
              <w:t>00m</w:t>
            </w:r>
            <w:r>
              <w:rPr>
                <w:rFonts w:hint="eastAsia" w:ascii="Times New Roman" w:hAnsi="Times New Roman" w:eastAsia="宋体" w:cs="宋体"/>
                <w:bCs/>
                <w:color w:val="auto"/>
                <w:kern w:val="2"/>
                <w:sz w:val="24"/>
                <w:szCs w:val="24"/>
                <w:lang w:val="en-US" w:eastAsia="zh-CN" w:bidi="ar"/>
              </w:rPr>
              <w:t>，为产生大气有害物质的生产单元（</w:t>
            </w:r>
            <w:r>
              <w:rPr>
                <w:rFonts w:hint="eastAsia" w:cs="宋体"/>
                <w:bCs/>
                <w:color w:val="auto"/>
                <w:kern w:val="2"/>
                <w:sz w:val="24"/>
                <w:szCs w:val="24"/>
                <w:lang w:val="en-US" w:eastAsia="zh-CN" w:bidi="ar"/>
              </w:rPr>
              <w:t>火化间、遗物祭品焚烧间</w:t>
            </w:r>
            <w:r>
              <w:rPr>
                <w:rFonts w:hint="eastAsia" w:ascii="Times New Roman" w:hAnsi="Times New Roman" w:eastAsia="宋体" w:cs="宋体"/>
                <w:bCs/>
                <w:color w:val="auto"/>
                <w:kern w:val="2"/>
                <w:sz w:val="24"/>
                <w:szCs w:val="24"/>
                <w:lang w:val="en-US" w:eastAsia="zh-CN" w:bidi="ar"/>
              </w:rPr>
              <w:t>）的边界至敏感区边界的最小距离，本项目卫生防护距离范围内无敏感区。</w:t>
            </w:r>
            <w:r>
              <w:rPr>
                <w:rFonts w:hint="eastAsia"/>
                <w:color w:val="auto"/>
                <w:sz w:val="24"/>
              </w:rPr>
              <w:t>距本项目拟建场址最近的居住区为距场址</w:t>
            </w:r>
            <w:r>
              <w:rPr>
                <w:rFonts w:hint="eastAsia"/>
                <w:color w:val="auto"/>
                <w:sz w:val="24"/>
                <w:lang w:val="en-US" w:eastAsia="zh-CN"/>
              </w:rPr>
              <w:t>东南</w:t>
            </w:r>
            <w:r>
              <w:rPr>
                <w:rFonts w:hint="eastAsia"/>
                <w:color w:val="auto"/>
                <w:sz w:val="24"/>
              </w:rPr>
              <w:t>侧约</w:t>
            </w:r>
            <w:r>
              <w:rPr>
                <w:rFonts w:hint="eastAsia"/>
                <w:color w:val="auto"/>
                <w:sz w:val="24"/>
                <w:lang w:val="en-US" w:eastAsia="zh-CN"/>
              </w:rPr>
              <w:t>145</w:t>
            </w:r>
            <w:r>
              <w:rPr>
                <w:rFonts w:hint="eastAsia"/>
                <w:color w:val="auto"/>
                <w:sz w:val="24"/>
              </w:rPr>
              <w:t>0m的</w:t>
            </w:r>
            <w:r>
              <w:rPr>
                <w:rFonts w:hint="eastAsia"/>
                <w:color w:val="auto"/>
                <w:sz w:val="24"/>
                <w:lang w:val="en-US" w:eastAsia="zh-CN"/>
              </w:rPr>
              <w:t>黑虎岔</w:t>
            </w:r>
            <w:r>
              <w:rPr>
                <w:rFonts w:hint="eastAsia"/>
                <w:color w:val="auto"/>
                <w:sz w:val="24"/>
              </w:rPr>
              <w:t>村，满足卫生防护距离的要求。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大气监测计划：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根据《排污单位自行监测技术指南 总则》（HJ 819-2017），</w:t>
            </w:r>
            <w:r>
              <w:rPr>
                <w:rFonts w:hint="eastAsia"/>
                <w:bCs/>
                <w:color w:val="auto"/>
                <w:sz w:val="24"/>
              </w:rPr>
              <w:t>本项目废气监测内容见下表。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表4-1</w:t>
            </w:r>
            <w:r>
              <w:rPr>
                <w:rFonts w:hint="eastAsia" w:ascii="黑体" w:hAnsi="黑体" w:eastAsia="黑体"/>
                <w:bCs/>
                <w:color w:val="auto"/>
                <w:sz w:val="24"/>
                <w:lang w:val="en-US" w:eastAsia="zh-CN"/>
              </w:rPr>
              <w:t>2</w:t>
            </w:r>
            <w:r>
              <w:rPr>
                <w:rFonts w:hint="eastAsia" w:ascii="黑体" w:hAnsi="黑体" w:eastAsia="黑体"/>
                <w:bCs/>
                <w:color w:val="auto"/>
                <w:sz w:val="24"/>
              </w:rPr>
              <w:t xml:space="preserve">  有组织废气监测方案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094"/>
              <w:gridCol w:w="1231"/>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181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1527"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1#火化机烟气排气筒DA001</w:t>
                  </w:r>
                </w:p>
              </w:tc>
              <w:tc>
                <w:tcPr>
                  <w:tcW w:w="181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烟尘、SO</w:t>
                  </w:r>
                  <w:r>
                    <w:rPr>
                      <w:rFonts w:hint="eastAsia" w:ascii="Times New Roman" w:hAnsi="Times New Roman" w:eastAsia="宋体"/>
                      <w:bCs/>
                      <w:color w:val="auto"/>
                      <w:sz w:val="21"/>
                      <w:szCs w:val="21"/>
                      <w:vertAlign w:val="subscript"/>
                    </w:rPr>
                    <w:t>2</w:t>
                  </w:r>
                  <w:r>
                    <w:rPr>
                      <w:rFonts w:hint="eastAsia" w:ascii="Times New Roman" w:hAnsi="Times New Roman" w:eastAsia="宋体"/>
                      <w:bCs/>
                      <w:color w:val="auto"/>
                      <w:sz w:val="21"/>
                      <w:szCs w:val="21"/>
                    </w:rPr>
                    <w:t>、NO</w:t>
                  </w:r>
                  <w:r>
                    <w:rPr>
                      <w:rFonts w:hint="eastAsia" w:ascii="Times New Roman" w:hAnsi="Times New Roman" w:eastAsia="宋体"/>
                      <w:bCs/>
                      <w:color w:val="auto"/>
                      <w:sz w:val="21"/>
                      <w:szCs w:val="21"/>
                      <w:vertAlign w:val="subscript"/>
                    </w:rPr>
                    <w:t>x</w:t>
                  </w:r>
                  <w:r>
                    <w:rPr>
                      <w:rFonts w:hint="eastAsia" w:ascii="Times New Roman" w:hAnsi="Times New Roman" w:eastAsia="宋体"/>
                      <w:bCs/>
                      <w:color w:val="auto"/>
                      <w:sz w:val="21"/>
                      <w:szCs w:val="21"/>
                    </w:rPr>
                    <w:t>、CO、HCl、汞、二噁英类、烟气黑度</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527" w:type="pct"/>
                  <w:vMerge w:val="restar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《火葬场大气污染物排放标准》（GB13801-2015）中表2新建单位遗体火化大气污染物排放限值要求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2#火化机烟气排气筒DA002</w:t>
                  </w:r>
                </w:p>
              </w:tc>
              <w:tc>
                <w:tcPr>
                  <w:tcW w:w="181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烟尘、SO</w:t>
                  </w:r>
                  <w:r>
                    <w:rPr>
                      <w:rFonts w:hint="eastAsia" w:ascii="Times New Roman" w:hAnsi="Times New Roman" w:eastAsia="宋体"/>
                      <w:bCs/>
                      <w:color w:val="auto"/>
                      <w:sz w:val="21"/>
                      <w:szCs w:val="21"/>
                      <w:vertAlign w:val="subscript"/>
                    </w:rPr>
                    <w:t>2</w:t>
                  </w:r>
                  <w:r>
                    <w:rPr>
                      <w:rFonts w:hint="eastAsia" w:ascii="Times New Roman" w:hAnsi="Times New Roman" w:eastAsia="宋体"/>
                      <w:bCs/>
                      <w:color w:val="auto"/>
                      <w:sz w:val="21"/>
                      <w:szCs w:val="21"/>
                    </w:rPr>
                    <w:t>、NO</w:t>
                  </w:r>
                  <w:r>
                    <w:rPr>
                      <w:rFonts w:hint="eastAsia" w:ascii="Times New Roman" w:hAnsi="Times New Roman" w:eastAsia="宋体"/>
                      <w:bCs/>
                      <w:color w:val="auto"/>
                      <w:sz w:val="21"/>
                      <w:szCs w:val="21"/>
                      <w:vertAlign w:val="subscript"/>
                    </w:rPr>
                    <w:t>x</w:t>
                  </w:r>
                  <w:r>
                    <w:rPr>
                      <w:rFonts w:hint="eastAsia" w:ascii="Times New Roman" w:hAnsi="Times New Roman" w:eastAsia="宋体"/>
                      <w:bCs/>
                      <w:color w:val="auto"/>
                      <w:sz w:val="21"/>
                      <w:szCs w:val="21"/>
                    </w:rPr>
                    <w:t>、CO、HCl、汞、二噁英类、烟气黑度</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527" w:type="pct"/>
                  <w:vMerge w:val="continue"/>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3#火化机烟气排气筒DA003</w:t>
                  </w:r>
                </w:p>
              </w:tc>
              <w:tc>
                <w:tcPr>
                  <w:tcW w:w="1810"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bCs/>
                      <w:color w:val="auto"/>
                      <w:kern w:val="0"/>
                      <w:szCs w:val="21"/>
                    </w:rPr>
                    <w:t>烟尘、SO</w:t>
                  </w:r>
                  <w:r>
                    <w:rPr>
                      <w:rFonts w:hint="eastAsia"/>
                      <w:bCs/>
                      <w:color w:val="auto"/>
                      <w:kern w:val="0"/>
                      <w:szCs w:val="21"/>
                      <w:vertAlign w:val="subscript"/>
                    </w:rPr>
                    <w:t>2</w:t>
                  </w:r>
                  <w:r>
                    <w:rPr>
                      <w:rFonts w:hint="eastAsia"/>
                      <w:bCs/>
                      <w:color w:val="auto"/>
                      <w:kern w:val="0"/>
                      <w:szCs w:val="21"/>
                    </w:rPr>
                    <w:t>、NO</w:t>
                  </w:r>
                  <w:r>
                    <w:rPr>
                      <w:rFonts w:hint="eastAsia"/>
                      <w:bCs/>
                      <w:color w:val="auto"/>
                      <w:kern w:val="0"/>
                      <w:szCs w:val="21"/>
                      <w:vertAlign w:val="subscript"/>
                    </w:rPr>
                    <w:t>x</w:t>
                  </w:r>
                  <w:r>
                    <w:rPr>
                      <w:rFonts w:hint="eastAsia"/>
                      <w:bCs/>
                      <w:color w:val="auto"/>
                      <w:kern w:val="0"/>
                      <w:szCs w:val="21"/>
                    </w:rPr>
                    <w:t>、CO、HCl、汞、二噁英类</w:t>
                  </w:r>
                  <w:r>
                    <w:rPr>
                      <w:rFonts w:hint="eastAsia"/>
                      <w:bCs/>
                      <w:color w:val="auto"/>
                      <w:szCs w:val="21"/>
                    </w:rPr>
                    <w:t>、烟气黑度</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527" w:type="pct"/>
                  <w:vMerge w:val="continue"/>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遗物祭品焚烧炉烟气排气筒DA004</w:t>
                  </w:r>
                </w:p>
              </w:tc>
              <w:tc>
                <w:tcPr>
                  <w:tcW w:w="1810" w:type="pct"/>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bCs/>
                      <w:color w:val="auto"/>
                      <w:szCs w:val="21"/>
                    </w:rPr>
                    <w:t>烟尘、SO</w:t>
                  </w:r>
                  <w:r>
                    <w:rPr>
                      <w:rFonts w:hint="eastAsia"/>
                      <w:bCs/>
                      <w:color w:val="auto"/>
                      <w:szCs w:val="21"/>
                      <w:vertAlign w:val="subscript"/>
                    </w:rPr>
                    <w:t>2</w:t>
                  </w:r>
                  <w:r>
                    <w:rPr>
                      <w:rFonts w:hint="eastAsia"/>
                      <w:bCs/>
                      <w:color w:val="auto"/>
                      <w:szCs w:val="21"/>
                    </w:rPr>
                    <w:t>、NO</w:t>
                  </w:r>
                  <w:r>
                    <w:rPr>
                      <w:rFonts w:hint="eastAsia"/>
                      <w:bCs/>
                      <w:color w:val="auto"/>
                      <w:szCs w:val="21"/>
                      <w:vertAlign w:val="subscript"/>
                    </w:rPr>
                    <w:t>x</w:t>
                  </w:r>
                  <w:r>
                    <w:rPr>
                      <w:rFonts w:hint="eastAsia"/>
                      <w:bCs/>
                      <w:color w:val="auto"/>
                      <w:szCs w:val="21"/>
                    </w:rPr>
                    <w:t>、CO、HCl、二噁英类、烟气黑度</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527"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《火葬场大气污染物排放标准》（GB13801-2015）中表3遗物祭品焚烧大气污染物排放限值要求</w:t>
                  </w:r>
                </w:p>
              </w:tc>
            </w:tr>
          </w:tbl>
          <w:p>
            <w:pPr>
              <w:keepNext w:val="0"/>
              <w:keepLines w:val="0"/>
              <w:suppressLineNumbers w:val="0"/>
              <w:spacing w:before="0" w:beforeAutospacing="0" w:after="0" w:afterAutospacing="0" w:line="480" w:lineRule="exact"/>
              <w:ind w:left="0" w:right="0"/>
              <w:jc w:val="center"/>
              <w:rPr>
                <w:rFonts w:hint="eastAsia" w:ascii="黑体" w:hAnsi="黑体" w:eastAsia="黑体"/>
                <w:color w:val="auto"/>
                <w:kern w:val="0"/>
                <w:sz w:val="24"/>
                <w:szCs w:val="32"/>
              </w:rPr>
            </w:pPr>
            <w:r>
              <w:rPr>
                <w:rFonts w:hint="eastAsia" w:ascii="黑体" w:hAnsi="黑体" w:eastAsia="黑体"/>
                <w:color w:val="auto"/>
                <w:kern w:val="0"/>
                <w:sz w:val="24"/>
                <w:szCs w:val="32"/>
              </w:rPr>
              <w:t>表</w:t>
            </w:r>
            <w:r>
              <w:rPr>
                <w:rFonts w:hint="eastAsia"/>
                <w:bCs/>
                <w:color w:val="auto"/>
                <w:sz w:val="24"/>
                <w:szCs w:val="32"/>
              </w:rPr>
              <w:t>4-1</w:t>
            </w:r>
            <w:r>
              <w:rPr>
                <w:rFonts w:hint="eastAsia"/>
                <w:bCs/>
                <w:color w:val="auto"/>
                <w:sz w:val="24"/>
                <w:szCs w:val="32"/>
                <w:lang w:val="en-US" w:eastAsia="zh-CN"/>
              </w:rPr>
              <w:t>3</w:t>
            </w:r>
            <w:r>
              <w:rPr>
                <w:rFonts w:hint="eastAsia"/>
                <w:bCs/>
                <w:color w:val="auto"/>
                <w:sz w:val="24"/>
                <w:szCs w:val="32"/>
              </w:rPr>
              <w:t xml:space="preserve"> </w:t>
            </w:r>
            <w:r>
              <w:rPr>
                <w:rFonts w:hint="eastAsia" w:ascii="黑体" w:hAnsi="黑体" w:eastAsia="黑体"/>
                <w:color w:val="auto"/>
                <w:kern w:val="0"/>
                <w:sz w:val="24"/>
                <w:szCs w:val="32"/>
              </w:rPr>
              <w:t xml:space="preserve"> 无组织废气监测方案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781"/>
              <w:gridCol w:w="1646"/>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1042"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963"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2022"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bCs/>
                      <w:color w:val="auto"/>
                      <w:kern w:val="0"/>
                      <w:szCs w:val="21"/>
                    </w:rPr>
                    <w:t>厂界</w:t>
                  </w:r>
                </w:p>
              </w:tc>
              <w:tc>
                <w:tcPr>
                  <w:tcW w:w="1042"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臭气浓度</w:t>
                  </w:r>
                </w:p>
              </w:tc>
              <w:tc>
                <w:tcPr>
                  <w:tcW w:w="963"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2022"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《恶臭污染物排放标准》（GB14554-93）</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2、运营期</w:t>
            </w:r>
            <w:r>
              <w:rPr>
                <w:rFonts w:hint="eastAsia"/>
                <w:b/>
                <w:color w:val="auto"/>
                <w:sz w:val="24"/>
              </w:rPr>
              <w:t>水污染源强及污染防治措施</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W</w:t>
            </w:r>
            <w:r>
              <w:rPr>
                <w:rFonts w:hint="eastAsia" w:hAnsi="宋体"/>
                <w:b/>
                <w:color w:val="auto"/>
                <w:sz w:val="24"/>
                <w:szCs w:val="32"/>
                <w:vertAlign w:val="subscript"/>
              </w:rPr>
              <w:t>1</w:t>
            </w:r>
            <w:r>
              <w:rPr>
                <w:rFonts w:hint="eastAsia" w:hAnsi="宋体"/>
                <w:b/>
                <w:color w:val="auto"/>
                <w:sz w:val="24"/>
                <w:szCs w:val="32"/>
              </w:rPr>
              <w:t>：</w:t>
            </w:r>
            <w:r>
              <w:rPr>
                <w:rFonts w:hint="eastAsia" w:hAnsi="宋体"/>
                <w:b/>
                <w:bCs/>
                <w:color w:val="auto"/>
                <w:sz w:val="24"/>
                <w:szCs w:val="32"/>
              </w:rPr>
              <w:t>遗体处置清洗、消毒废水；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color w:val="auto"/>
                <w:sz w:val="24"/>
              </w:rPr>
              <w:t>参考同类报告，遗体处置包括沐浴、化妆、换衣等殡仪服务以及处置台清洗、消毒，用水量约为0.2-0.3m</w:t>
            </w:r>
            <w:r>
              <w:rPr>
                <w:rFonts w:hint="eastAsia"/>
                <w:color w:val="auto"/>
                <w:sz w:val="24"/>
                <w:vertAlign w:val="superscript"/>
              </w:rPr>
              <w:t>3</w:t>
            </w:r>
            <w:r>
              <w:rPr>
                <w:rFonts w:hint="eastAsia"/>
                <w:color w:val="auto"/>
                <w:sz w:val="24"/>
              </w:rPr>
              <w:t>/具，本项目取遗体处置清洗、消毒用水为0.3 m</w:t>
            </w:r>
            <w:r>
              <w:rPr>
                <w:rFonts w:hint="eastAsia"/>
                <w:color w:val="auto"/>
                <w:sz w:val="24"/>
                <w:vertAlign w:val="superscript"/>
              </w:rPr>
              <w:t>3</w:t>
            </w:r>
            <w:r>
              <w:rPr>
                <w:rFonts w:hint="eastAsia"/>
                <w:color w:val="auto"/>
                <w:sz w:val="24"/>
              </w:rPr>
              <w:t>/具；以项目最高年服务能力计，即年火化遗体2190具计，则本项目遗体处置清洗、消毒用水量为657m</w:t>
            </w:r>
            <w:r>
              <w:rPr>
                <w:rFonts w:hint="eastAsia"/>
                <w:color w:val="auto"/>
                <w:sz w:val="24"/>
                <w:vertAlign w:val="superscript"/>
              </w:rPr>
              <w:t>3</w:t>
            </w:r>
            <w:r>
              <w:rPr>
                <w:rFonts w:hint="eastAsia"/>
                <w:color w:val="auto"/>
                <w:sz w:val="24"/>
              </w:rPr>
              <w:t>/a（1.8m</w:t>
            </w:r>
            <w:r>
              <w:rPr>
                <w:rFonts w:hint="eastAsia"/>
                <w:color w:val="auto"/>
                <w:sz w:val="24"/>
                <w:vertAlign w:val="superscript"/>
              </w:rPr>
              <w:t>3</w:t>
            </w:r>
            <w:r>
              <w:rPr>
                <w:rFonts w:hint="eastAsia"/>
                <w:color w:val="auto"/>
                <w:sz w:val="24"/>
              </w:rPr>
              <w:t>/d）；产污系数按用水量的80%计，则污水产生量为525.6m³/a（1.44m³/d）。该部分水质浓度约为：COD 200 mg/L，BOD 50 mg/L，氨氮20mg/L，悬浮物200mg/L。</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W</w:t>
            </w:r>
            <w:r>
              <w:rPr>
                <w:rFonts w:hint="eastAsia" w:hAnsi="宋体"/>
                <w:b/>
                <w:color w:val="auto"/>
                <w:sz w:val="24"/>
                <w:szCs w:val="32"/>
                <w:vertAlign w:val="subscript"/>
              </w:rPr>
              <w:t>2</w:t>
            </w:r>
            <w:r>
              <w:rPr>
                <w:rFonts w:hint="eastAsia" w:hAnsi="宋体"/>
                <w:b/>
                <w:color w:val="auto"/>
                <w:sz w:val="24"/>
                <w:szCs w:val="32"/>
              </w:rPr>
              <w:t>：</w:t>
            </w:r>
            <w:r>
              <w:rPr>
                <w:rFonts w:hint="eastAsia" w:hAnsi="宋体"/>
                <w:b/>
                <w:bCs/>
                <w:color w:val="auto"/>
                <w:sz w:val="24"/>
                <w:szCs w:val="32"/>
              </w:rPr>
              <w:t>专用殡仪车辆清洗、消毒废水；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lang w:val="en-US" w:eastAsia="zh-CN"/>
              </w:rPr>
              <w:t>参考《山西省用水定额第3部分：服务业用水定额》（DB14/T1049.3-2021）汽车冲洗用水定额中公共汽车、载重汽车冲洗用水定额，本项目</w:t>
            </w:r>
            <w:r>
              <w:rPr>
                <w:rFonts w:hint="eastAsia"/>
                <w:color w:val="auto"/>
                <w:sz w:val="24"/>
              </w:rPr>
              <w:t>专用殡仪车辆清洗消毒用水按</w:t>
            </w:r>
            <w:r>
              <w:rPr>
                <w:rFonts w:hint="eastAsia"/>
                <w:color w:val="auto"/>
                <w:sz w:val="24"/>
                <w:lang w:val="en-US" w:eastAsia="zh-CN"/>
              </w:rPr>
              <w:t>60</w:t>
            </w:r>
            <w:r>
              <w:rPr>
                <w:rFonts w:hint="eastAsia"/>
                <w:color w:val="auto"/>
                <w:sz w:val="24"/>
              </w:rPr>
              <w:t>L/辆·次计，清洗次数按2190次/计，则本项目专用殡仪车辆清洗消毒用水量为</w:t>
            </w:r>
            <w:r>
              <w:rPr>
                <w:rFonts w:hint="eastAsia"/>
                <w:color w:val="auto"/>
                <w:sz w:val="24"/>
                <w:lang w:val="en-US" w:eastAsia="zh-CN"/>
              </w:rPr>
              <w:t>131.4</w:t>
            </w:r>
            <w:r>
              <w:rPr>
                <w:rFonts w:hint="eastAsia"/>
                <w:color w:val="auto"/>
                <w:sz w:val="24"/>
              </w:rPr>
              <w:t>m</w:t>
            </w:r>
            <w:r>
              <w:rPr>
                <w:rFonts w:hint="eastAsia"/>
                <w:color w:val="auto"/>
                <w:sz w:val="24"/>
                <w:vertAlign w:val="superscript"/>
              </w:rPr>
              <w:t>3</w:t>
            </w:r>
            <w:r>
              <w:rPr>
                <w:rFonts w:hint="eastAsia"/>
                <w:color w:val="auto"/>
                <w:sz w:val="24"/>
              </w:rPr>
              <w:t>/a（0.</w:t>
            </w:r>
            <w:r>
              <w:rPr>
                <w:rFonts w:hint="eastAsia"/>
                <w:color w:val="auto"/>
                <w:sz w:val="24"/>
                <w:lang w:val="en-US" w:eastAsia="zh-CN"/>
              </w:rPr>
              <w:t>36</w:t>
            </w:r>
            <w:r>
              <w:rPr>
                <w:rFonts w:hint="eastAsia"/>
                <w:color w:val="auto"/>
                <w:sz w:val="24"/>
              </w:rPr>
              <w:t>m</w:t>
            </w:r>
            <w:r>
              <w:rPr>
                <w:rFonts w:hint="eastAsia"/>
                <w:color w:val="auto"/>
                <w:sz w:val="24"/>
                <w:vertAlign w:val="superscript"/>
              </w:rPr>
              <w:t>3</w:t>
            </w:r>
            <w:r>
              <w:rPr>
                <w:rFonts w:hint="eastAsia"/>
                <w:color w:val="auto"/>
                <w:sz w:val="24"/>
              </w:rPr>
              <w:t>/d）。产污系数按用水量的80%计，则污水产生量为</w:t>
            </w:r>
            <w:r>
              <w:rPr>
                <w:rFonts w:hint="eastAsia"/>
                <w:color w:val="auto"/>
                <w:sz w:val="24"/>
                <w:lang w:val="en-US" w:eastAsia="zh-CN"/>
              </w:rPr>
              <w:t>105.12</w:t>
            </w:r>
            <w:r>
              <w:rPr>
                <w:rFonts w:hint="eastAsia"/>
                <w:color w:val="auto"/>
                <w:sz w:val="24"/>
              </w:rPr>
              <w:t>m³/a（0.</w:t>
            </w:r>
            <w:r>
              <w:rPr>
                <w:rFonts w:hint="eastAsia"/>
                <w:color w:val="auto"/>
                <w:sz w:val="24"/>
                <w:lang w:val="en-US" w:eastAsia="zh-CN"/>
              </w:rPr>
              <w:t>29</w:t>
            </w:r>
            <w:r>
              <w:rPr>
                <w:rFonts w:hint="eastAsia"/>
                <w:color w:val="auto"/>
                <w:sz w:val="24"/>
              </w:rPr>
              <w:t>m³/d）。该部分水质浓度约为：COD 100 mg/L，BOD 50 mg/L，氨氮10mg/L，悬浮物300mg/L。</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W</w:t>
            </w:r>
            <w:r>
              <w:rPr>
                <w:rFonts w:hint="eastAsia" w:hAnsi="宋体"/>
                <w:b/>
                <w:color w:val="auto"/>
                <w:sz w:val="24"/>
                <w:szCs w:val="32"/>
                <w:vertAlign w:val="subscript"/>
                <w:lang w:val="en-US" w:eastAsia="zh-CN"/>
              </w:rPr>
              <w:t>3</w:t>
            </w:r>
            <w:r>
              <w:rPr>
                <w:rFonts w:hint="eastAsia" w:hAnsi="宋体"/>
                <w:b/>
                <w:color w:val="auto"/>
                <w:sz w:val="24"/>
                <w:szCs w:val="32"/>
              </w:rPr>
              <w:t>：地坪清洗</w:t>
            </w:r>
            <w:r>
              <w:rPr>
                <w:rFonts w:hint="eastAsia" w:hAnsi="宋体"/>
                <w:b/>
                <w:bCs/>
                <w:color w:val="auto"/>
                <w:sz w:val="24"/>
                <w:szCs w:val="32"/>
              </w:rPr>
              <w:t>废水；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lang w:val="en-US" w:eastAsia="zh-CN"/>
              </w:rPr>
            </w:pPr>
            <w:r>
              <w:rPr>
                <w:rFonts w:hint="eastAsia"/>
                <w:color w:val="auto"/>
                <w:sz w:val="24"/>
                <w:lang w:val="en-US" w:eastAsia="zh-CN"/>
              </w:rPr>
              <w:t>本项目室内地坪清洗方式包括清扫、拖布清洗、直接水冲洗等；其中告别楼、火化间、办公用房等采用拖布清洗方式，专用车辆车库、遗体处置用房采用直接水冲洗的方式；参考《山西省用水定额第3部分：服务业用水定额》（DB14/T1049.3</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lang w:val="en-US" w:eastAsia="zh-CN"/>
              </w:rPr>
              <w:t>-2021）建筑物清洁服务用水定额，本项目拖布清洗方式用水定额取3</w:t>
            </w:r>
            <w:r>
              <w:rPr>
                <w:rFonts w:hint="eastAsia"/>
                <w:color w:val="auto"/>
                <w:sz w:val="24"/>
              </w:rPr>
              <w:t>L/</w:t>
            </w:r>
            <w:r>
              <w:rPr>
                <w:rFonts w:hint="eastAsia"/>
                <w:color w:val="auto"/>
                <w:sz w:val="24"/>
                <w:lang w:val="en-US" w:eastAsia="zh-CN"/>
              </w:rPr>
              <w:t>m</w:t>
            </w:r>
            <w:r>
              <w:rPr>
                <w:rFonts w:hint="eastAsia"/>
                <w:color w:val="auto"/>
                <w:sz w:val="24"/>
                <w:vertAlign w:val="superscript"/>
                <w:lang w:val="en-US" w:eastAsia="zh-CN"/>
              </w:rPr>
              <w:t>2</w:t>
            </w:r>
            <w:r>
              <w:rPr>
                <w:rFonts w:hint="eastAsia"/>
                <w:color w:val="auto"/>
                <w:sz w:val="24"/>
              </w:rPr>
              <w:t>·次</w:t>
            </w:r>
            <w:r>
              <w:rPr>
                <w:rFonts w:hint="eastAsia"/>
                <w:color w:val="auto"/>
                <w:sz w:val="24"/>
                <w:lang w:eastAsia="zh-CN"/>
              </w:rPr>
              <w:t>，</w:t>
            </w:r>
            <w:r>
              <w:rPr>
                <w:rFonts w:hint="eastAsia"/>
                <w:color w:val="auto"/>
                <w:sz w:val="24"/>
                <w:lang w:val="en-US" w:eastAsia="zh-CN"/>
              </w:rPr>
              <w:t>清洗面积约为4292m</w:t>
            </w:r>
            <w:r>
              <w:rPr>
                <w:rFonts w:hint="eastAsia"/>
                <w:color w:val="auto"/>
                <w:sz w:val="24"/>
                <w:vertAlign w:val="superscript"/>
                <w:lang w:val="en-US" w:eastAsia="zh-CN"/>
              </w:rPr>
              <w:t>2</w:t>
            </w:r>
            <w:r>
              <w:rPr>
                <w:rFonts w:hint="eastAsia"/>
                <w:color w:val="auto"/>
                <w:sz w:val="24"/>
                <w:vertAlign w:val="baseline"/>
                <w:lang w:val="en-US" w:eastAsia="zh-CN"/>
              </w:rPr>
              <w:t>，清洗次数取1次/7d</w:t>
            </w:r>
            <w:r>
              <w:rPr>
                <w:rFonts w:hint="eastAsia"/>
                <w:color w:val="auto"/>
                <w:sz w:val="24"/>
                <w:lang w:val="en-US" w:eastAsia="zh-CN"/>
              </w:rPr>
              <w:t>；直接水冲洗方式用水定额取5</w:t>
            </w:r>
            <w:r>
              <w:rPr>
                <w:rFonts w:hint="eastAsia"/>
                <w:color w:val="auto"/>
                <w:sz w:val="24"/>
              </w:rPr>
              <w:t>L/</w:t>
            </w:r>
            <w:r>
              <w:rPr>
                <w:rFonts w:hint="eastAsia"/>
                <w:color w:val="auto"/>
                <w:sz w:val="24"/>
                <w:lang w:val="en-US" w:eastAsia="zh-CN"/>
              </w:rPr>
              <w:t>m</w:t>
            </w:r>
            <w:r>
              <w:rPr>
                <w:rFonts w:hint="eastAsia"/>
                <w:color w:val="auto"/>
                <w:sz w:val="24"/>
                <w:vertAlign w:val="superscript"/>
                <w:lang w:val="en-US" w:eastAsia="zh-CN"/>
              </w:rPr>
              <w:t>2</w:t>
            </w:r>
            <w:r>
              <w:rPr>
                <w:rFonts w:hint="eastAsia"/>
                <w:color w:val="auto"/>
                <w:sz w:val="24"/>
              </w:rPr>
              <w:t>·次</w:t>
            </w:r>
            <w:r>
              <w:rPr>
                <w:rFonts w:hint="eastAsia"/>
                <w:color w:val="auto"/>
                <w:sz w:val="24"/>
                <w:lang w:eastAsia="zh-CN"/>
              </w:rPr>
              <w:t>，</w:t>
            </w:r>
            <w:r>
              <w:rPr>
                <w:rFonts w:hint="eastAsia"/>
                <w:color w:val="auto"/>
                <w:sz w:val="24"/>
                <w:lang w:val="en-US" w:eastAsia="zh-CN"/>
              </w:rPr>
              <w:t>清洗面积约为683m</w:t>
            </w:r>
            <w:r>
              <w:rPr>
                <w:rFonts w:hint="eastAsia"/>
                <w:color w:val="auto"/>
                <w:sz w:val="24"/>
                <w:vertAlign w:val="superscript"/>
                <w:lang w:val="en-US" w:eastAsia="zh-CN"/>
              </w:rPr>
              <w:t>2</w:t>
            </w:r>
            <w:r>
              <w:rPr>
                <w:rFonts w:hint="eastAsia"/>
                <w:color w:val="auto"/>
                <w:sz w:val="24"/>
                <w:vertAlign w:val="baseline"/>
                <w:lang w:val="en-US" w:eastAsia="zh-CN"/>
              </w:rPr>
              <w:t>，清洗次数取1次/1d；则</w:t>
            </w:r>
            <w:r>
              <w:rPr>
                <w:rFonts w:hint="eastAsia"/>
                <w:color w:val="auto"/>
                <w:sz w:val="24"/>
                <w:lang w:val="en-US" w:eastAsia="zh-CN"/>
              </w:rPr>
              <w:t>拖布清洗方式用水量为669.6</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val="en-US" w:eastAsia="zh-CN"/>
              </w:rPr>
              <w:t>1.83</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直接水冲洗方式用水量为1246.5</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val="en-US" w:eastAsia="zh-CN"/>
              </w:rPr>
              <w:t>3.42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。产污系数按用水量的80%计，则拖布清洗方式污水产生量为535.7m³/a（1.46m³/d）；直接水冲洗方式污水产生量为997.2m³/a（2.74m³/d）。该部分水质浓度约为：COD 100 mg/L，BOD 50 mg/L，氨氮10mg/L，悬浮物300mg/L。</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W</w:t>
            </w:r>
            <w:r>
              <w:rPr>
                <w:rFonts w:hint="eastAsia" w:hAnsi="宋体"/>
                <w:b/>
                <w:color w:val="auto"/>
                <w:sz w:val="24"/>
                <w:szCs w:val="32"/>
                <w:vertAlign w:val="subscript"/>
                <w:lang w:val="en-US" w:eastAsia="zh-CN"/>
              </w:rPr>
              <w:t>4</w:t>
            </w:r>
            <w:r>
              <w:rPr>
                <w:rFonts w:hint="eastAsia" w:hAnsi="宋体"/>
                <w:b/>
                <w:color w:val="auto"/>
                <w:sz w:val="24"/>
                <w:szCs w:val="32"/>
              </w:rPr>
              <w:t>：</w:t>
            </w:r>
            <w:r>
              <w:rPr>
                <w:rFonts w:hint="eastAsia"/>
                <w:b/>
                <w:bCs/>
                <w:color w:val="auto"/>
                <w:sz w:val="24"/>
              </w:rPr>
              <w:t>烟气处理设施急冷装置循环冷却水</w:t>
            </w:r>
            <w:r>
              <w:rPr>
                <w:rFonts w:hint="eastAsia"/>
                <w:b/>
                <w:bCs/>
                <w:color w:val="auto"/>
                <w:sz w:val="24"/>
                <w:lang w:val="en-US" w:eastAsia="zh-CN"/>
              </w:rPr>
              <w:t>排污</w:t>
            </w:r>
            <w:r>
              <w:rPr>
                <w:rFonts w:hint="eastAsia" w:hAnsi="宋体"/>
                <w:b/>
                <w:bCs/>
                <w:color w:val="auto"/>
                <w:sz w:val="24"/>
                <w:szCs w:val="32"/>
              </w:rPr>
              <w:t>水；</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250℃-450℃温度断是二噁英重新生成的温度区间，为了控制二噁英的生成，遗体火化烟气和遗物祭品焚烧烟气必须瞬间降温，配套的烟气处理设施都有急冷装置，利用冷却水间接冷却，在短时间内（&gt;2s）蒸发，迅速带走热量，使烟气温度急速下降至200℃以下（约195℃）。本项目烟气急冷装置配套的冷却水循环系统补充水量为7.56m</w:t>
            </w:r>
            <w:r>
              <w:rPr>
                <w:rFonts w:hint="eastAsia"/>
                <w:color w:val="auto"/>
                <w:sz w:val="24"/>
                <w:vertAlign w:val="superscript"/>
              </w:rPr>
              <w:t>3</w:t>
            </w:r>
            <w:r>
              <w:rPr>
                <w:rFonts w:hint="eastAsia"/>
                <w:color w:val="auto"/>
                <w:sz w:val="24"/>
              </w:rPr>
              <w:t>/d，排污水量为0.36 m</w:t>
            </w:r>
            <w:r>
              <w:rPr>
                <w:rFonts w:hint="eastAsia"/>
                <w:color w:val="auto"/>
                <w:sz w:val="24"/>
                <w:vertAlign w:val="superscript"/>
              </w:rPr>
              <w:t>3</w:t>
            </w:r>
            <w:r>
              <w:rPr>
                <w:rFonts w:hint="eastAsia"/>
                <w:color w:val="auto"/>
                <w:sz w:val="24"/>
              </w:rPr>
              <w:t>/d。</w:t>
            </w:r>
            <w:r>
              <w:rPr>
                <w:rFonts w:hint="eastAsia"/>
                <w:color w:val="auto"/>
                <w:sz w:val="24"/>
                <w:lang w:val="en-US" w:eastAsia="zh-CN"/>
              </w:rPr>
              <w:t>该部分水质浓度约为：COD 50 mg/L，BOD 20 mg/L，氨氮2mg/L，悬浮物200mg/L。</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W</w:t>
            </w:r>
            <w:r>
              <w:rPr>
                <w:rFonts w:hint="eastAsia" w:hAnsi="宋体"/>
                <w:b/>
                <w:color w:val="auto"/>
                <w:sz w:val="24"/>
                <w:szCs w:val="32"/>
                <w:vertAlign w:val="subscript"/>
                <w:lang w:val="en-US" w:eastAsia="zh-CN"/>
              </w:rPr>
              <w:t>5</w:t>
            </w:r>
            <w:r>
              <w:rPr>
                <w:rFonts w:hint="eastAsia" w:hAnsi="宋体"/>
                <w:b/>
                <w:color w:val="auto"/>
                <w:sz w:val="24"/>
                <w:szCs w:val="32"/>
              </w:rPr>
              <w:t>：</w:t>
            </w:r>
            <w:r>
              <w:rPr>
                <w:rFonts w:hint="eastAsia"/>
                <w:b/>
                <w:bCs/>
                <w:color w:val="auto"/>
                <w:sz w:val="24"/>
              </w:rPr>
              <w:t>来访人员及工作人员生活污水</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lang w:val="en-US" w:eastAsia="zh-CN"/>
              </w:rPr>
            </w:pPr>
            <w:r>
              <w:rPr>
                <w:rFonts w:hint="eastAsia"/>
                <w:color w:val="auto"/>
                <w:sz w:val="24"/>
              </w:rPr>
              <w:t>目前五台县尚未定编县级殡仪馆定员，环评时项目运营期暂拟按工作人员30人计算产排污量；</w:t>
            </w:r>
            <w:r>
              <w:rPr>
                <w:rFonts w:hint="eastAsia"/>
                <w:color w:val="auto"/>
                <w:sz w:val="24"/>
                <w:lang w:val="en-US" w:eastAsia="zh-CN"/>
              </w:rPr>
              <w:t>参考《山西省用水定额第4部分：居民生活用水定额》（DB14/T</w:t>
            </w:r>
          </w:p>
          <w:p>
            <w:pPr>
              <w:keepNext w:val="0"/>
              <w:keepLines w:val="0"/>
              <w:suppressLineNumbers w:val="0"/>
              <w:adjustRightInd w:val="0"/>
              <w:snapToGrid w:val="0"/>
              <w:spacing w:before="0" w:beforeAutospacing="0" w:after="0" w:afterAutospacing="0" w:line="480" w:lineRule="exact"/>
              <w:ind w:left="0" w:right="0"/>
              <w:rPr>
                <w:rFonts w:hint="eastAsia"/>
                <w:color w:val="auto"/>
                <w:sz w:val="24"/>
              </w:rPr>
            </w:pPr>
            <w:r>
              <w:rPr>
                <w:rFonts w:hint="eastAsia"/>
                <w:color w:val="auto"/>
                <w:sz w:val="24"/>
                <w:lang w:val="en-US" w:eastAsia="zh-CN"/>
              </w:rPr>
              <w:t>1049.4-2021）50万以下人口小城市-室内有给排水卫生设备和淋浴设备用水定额，为</w:t>
            </w:r>
            <w:r>
              <w:rPr>
                <w:rFonts w:hint="eastAsia"/>
                <w:color w:val="auto"/>
                <w:sz w:val="24"/>
              </w:rPr>
              <w:t>120L/(p·d)，则工作人员生活用水量为1314m</w:t>
            </w:r>
            <w:r>
              <w:rPr>
                <w:rFonts w:hint="eastAsia"/>
                <w:color w:val="auto"/>
                <w:sz w:val="24"/>
                <w:vertAlign w:val="superscript"/>
              </w:rPr>
              <w:t>3</w:t>
            </w:r>
            <w:r>
              <w:rPr>
                <w:rFonts w:hint="eastAsia"/>
                <w:color w:val="auto"/>
                <w:sz w:val="24"/>
              </w:rPr>
              <w:t>/a（3.6m</w:t>
            </w:r>
            <w:r>
              <w:rPr>
                <w:rFonts w:hint="eastAsia"/>
                <w:color w:val="auto"/>
                <w:sz w:val="24"/>
                <w:vertAlign w:val="superscript"/>
              </w:rPr>
              <w:t>3</w:t>
            </w:r>
            <w:r>
              <w:rPr>
                <w:rFonts w:hint="eastAsia"/>
                <w:color w:val="auto"/>
                <w:sz w:val="24"/>
              </w:rPr>
              <w:t>/d），产污系数按用水量的80%计，则污水产生量为1051.2m³/a（2.88m³/d）。</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本项目最高年服务能力为每年火化2190具遗体并通过配套的殡葬服务（本项目不提供餐饮服务），按一天每个悼念厅一场悼念会，一场50人来计算，悼念、来访人员的用水量按10L/人</w:t>
            </w:r>
            <w:r>
              <w:rPr>
                <w:rFonts w:hint="eastAsia"/>
                <w:bCs/>
                <w:color w:val="auto"/>
                <w:sz w:val="24"/>
              </w:rPr>
              <w:t>·d计，每天悼念、</w:t>
            </w:r>
            <w:r>
              <w:rPr>
                <w:rFonts w:hint="eastAsia"/>
                <w:color w:val="auto"/>
                <w:sz w:val="24"/>
              </w:rPr>
              <w:t>来访</w:t>
            </w:r>
            <w:r>
              <w:rPr>
                <w:rFonts w:hint="eastAsia"/>
                <w:bCs/>
                <w:color w:val="auto"/>
                <w:sz w:val="24"/>
              </w:rPr>
              <w:t>人员为300人。</w:t>
            </w:r>
            <w:r>
              <w:rPr>
                <w:rFonts w:hint="eastAsia"/>
                <w:color w:val="auto"/>
                <w:sz w:val="24"/>
              </w:rPr>
              <w:t>则悼念、来访人员生活用水量为1095 m</w:t>
            </w:r>
            <w:r>
              <w:rPr>
                <w:rFonts w:hint="eastAsia"/>
                <w:color w:val="auto"/>
                <w:sz w:val="24"/>
                <w:vertAlign w:val="superscript"/>
              </w:rPr>
              <w:t>3</w:t>
            </w:r>
            <w:r>
              <w:rPr>
                <w:rFonts w:hint="eastAsia"/>
                <w:color w:val="auto"/>
                <w:sz w:val="24"/>
              </w:rPr>
              <w:t>/a（3 m</w:t>
            </w:r>
            <w:r>
              <w:rPr>
                <w:rFonts w:hint="eastAsia"/>
                <w:color w:val="auto"/>
                <w:sz w:val="24"/>
                <w:vertAlign w:val="superscript"/>
              </w:rPr>
              <w:t>3</w:t>
            </w:r>
            <w:r>
              <w:rPr>
                <w:rFonts w:hint="eastAsia"/>
                <w:color w:val="auto"/>
                <w:sz w:val="24"/>
              </w:rPr>
              <w:t>/d），产污系数按用水量的80%计，则污水产生量为876m³/a（2.4m³/d）。</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生活污水水质为COD 350~500mg/L，BOD 150~250mg/L，SS 200~300mg/L，氨氮 20~85mg/L。</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color w:val="auto"/>
                <w:sz w:val="24"/>
              </w:rPr>
              <w:t>本项目主要废水为遗体处置清洗、消毒废水，专用殡仪车辆清洗、消毒废水</w:t>
            </w:r>
            <w:r>
              <w:rPr>
                <w:rFonts w:hint="eastAsia"/>
                <w:color w:val="auto"/>
                <w:sz w:val="24"/>
                <w:lang w:eastAsia="zh-CN"/>
              </w:rPr>
              <w:t>，</w:t>
            </w:r>
            <w:r>
              <w:rPr>
                <w:rFonts w:hint="eastAsia"/>
                <w:color w:val="auto"/>
                <w:sz w:val="24"/>
                <w:lang w:val="en-US" w:eastAsia="zh-CN"/>
              </w:rPr>
              <w:t>地坪清洗废水，循环冷却水用水定排水</w:t>
            </w:r>
            <w:r>
              <w:rPr>
                <w:rFonts w:hint="eastAsia"/>
                <w:color w:val="auto"/>
                <w:sz w:val="24"/>
              </w:rPr>
              <w:t>和生活污水；其中遗体处置清洗、消毒废水，专用殡仪车辆清洗、消毒废水</w:t>
            </w:r>
            <w:r>
              <w:rPr>
                <w:rFonts w:hint="eastAsia"/>
                <w:color w:val="auto"/>
                <w:sz w:val="24"/>
                <w:lang w:val="en-US" w:eastAsia="zh-CN"/>
              </w:rPr>
              <w:t>以及地坪清洗废水中的直接冲洗废水</w:t>
            </w:r>
            <w:r>
              <w:rPr>
                <w:rFonts w:hint="eastAsia"/>
                <w:color w:val="auto"/>
                <w:sz w:val="24"/>
                <w:lang w:eastAsia="zh-CN"/>
              </w:rPr>
              <w:t>，</w:t>
            </w:r>
            <w:r>
              <w:rPr>
                <w:rFonts w:hint="eastAsia"/>
                <w:color w:val="auto"/>
                <w:sz w:val="24"/>
              </w:rPr>
              <w:t>经消毒池预处理后</w:t>
            </w:r>
            <w:r>
              <w:rPr>
                <w:rFonts w:hint="eastAsia"/>
                <w:color w:val="auto"/>
                <w:sz w:val="24"/>
                <w:lang w:eastAsia="zh-CN"/>
              </w:rPr>
              <w:t>，</w:t>
            </w:r>
            <w:r>
              <w:rPr>
                <w:rFonts w:hint="eastAsia"/>
                <w:color w:val="auto"/>
                <w:sz w:val="24"/>
              </w:rPr>
              <w:t>与其他生活污水一同进入自建污水处理站处理。废水经污水处理站处理后非采暖期（5月至10月）可用于道路浇洒及绿化浇灌，采暖期（11月-4月）定期统一</w:t>
            </w:r>
            <w:r>
              <w:rPr>
                <w:rFonts w:hint="eastAsia"/>
                <w:bCs/>
                <w:color w:val="auto"/>
                <w:sz w:val="24"/>
              </w:rPr>
              <w:t>由罐车</w:t>
            </w:r>
            <w:r>
              <w:rPr>
                <w:rFonts w:hint="eastAsia"/>
                <w:color w:val="auto"/>
                <w:sz w:val="24"/>
              </w:rPr>
              <w:t>抽送至五台县生活污水处理厂。</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szCs w:val="32"/>
              </w:rPr>
              <w:t>本项目水污染物产排量汇总情况见下表。</w:t>
            </w:r>
          </w:p>
          <w:p>
            <w:pPr>
              <w:keepNext w:val="0"/>
              <w:keepLines w:val="0"/>
              <w:suppressLineNumbers w:val="0"/>
              <w:autoSpaceDE w:val="0"/>
              <w:autoSpaceDN w:val="0"/>
              <w:adjustRightInd w:val="0"/>
              <w:spacing w:before="0" w:beforeAutospacing="0" w:after="0" w:afterAutospacing="0" w:line="480" w:lineRule="exact"/>
              <w:ind w:left="0" w:right="0"/>
              <w:jc w:val="center"/>
              <w:rPr>
                <w:rFonts w:hint="eastAsia" w:ascii="黑体" w:hAnsi="黑体" w:eastAsia="黑体"/>
                <w:color w:val="auto"/>
                <w:sz w:val="24"/>
                <w:szCs w:val="32"/>
              </w:rPr>
            </w:pPr>
            <w:r>
              <w:rPr>
                <w:rFonts w:hint="eastAsia" w:ascii="黑体" w:hAnsi="黑体" w:eastAsia="黑体"/>
                <w:color w:val="auto"/>
                <w:sz w:val="24"/>
                <w:szCs w:val="32"/>
              </w:rPr>
              <w:t>表4-1</w:t>
            </w:r>
            <w:r>
              <w:rPr>
                <w:rFonts w:hint="eastAsia" w:ascii="黑体" w:hAnsi="黑体" w:eastAsia="黑体"/>
                <w:color w:val="auto"/>
                <w:sz w:val="24"/>
                <w:szCs w:val="32"/>
                <w:lang w:val="en-US" w:eastAsia="zh-CN"/>
              </w:rPr>
              <w:t>4</w:t>
            </w:r>
            <w:r>
              <w:rPr>
                <w:rFonts w:hint="eastAsia" w:ascii="黑体" w:hAnsi="黑体" w:eastAsia="黑体"/>
                <w:color w:val="auto"/>
                <w:sz w:val="24"/>
                <w:szCs w:val="32"/>
              </w:rPr>
              <w:t xml:space="preserve">  本项目水污染物汇总表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010"/>
              <w:gridCol w:w="3752"/>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hAnsi="宋体"/>
                      <w:color w:val="auto"/>
                      <w:szCs w:val="21"/>
                    </w:rPr>
                    <w:t>项目</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hAnsi="宋体"/>
                      <w:color w:val="auto"/>
                      <w:szCs w:val="21"/>
                    </w:rPr>
                    <w:t>产生量m</w:t>
                  </w:r>
                  <w:r>
                    <w:rPr>
                      <w:rFonts w:hint="eastAsia" w:hAnsi="宋体"/>
                      <w:color w:val="auto"/>
                      <w:szCs w:val="21"/>
                      <w:vertAlign w:val="superscript"/>
                    </w:rPr>
                    <w:t>3</w:t>
                  </w:r>
                  <w:r>
                    <w:rPr>
                      <w:rFonts w:hint="eastAsia" w:hAnsi="宋体"/>
                      <w:color w:val="auto"/>
                      <w:szCs w:val="21"/>
                    </w:rPr>
                    <w:t>/d</w:t>
                  </w:r>
                </w:p>
              </w:tc>
              <w:tc>
                <w:tcPr>
                  <w:tcW w:w="2195"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hAnsi="宋体"/>
                      <w:color w:val="auto"/>
                      <w:szCs w:val="21"/>
                    </w:rPr>
                    <w:t>处理方式</w:t>
                  </w:r>
                </w:p>
              </w:tc>
              <w:tc>
                <w:tcPr>
                  <w:tcW w:w="1104"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hAnsi="宋体"/>
                      <w:color w:val="auto"/>
                      <w:szCs w:val="21"/>
                    </w:rPr>
                    <w:t>排放量m</w:t>
                  </w:r>
                  <w:r>
                    <w:rPr>
                      <w:rFonts w:hint="eastAsia" w:hAnsi="宋体"/>
                      <w:color w:val="auto"/>
                      <w:szCs w:val="21"/>
                      <w:vertAlign w:val="superscript"/>
                    </w:rPr>
                    <w:t>3</w:t>
                  </w:r>
                  <w:r>
                    <w:rPr>
                      <w:rFonts w:hint="eastAsia" w:hAnsi="宋体"/>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olor w:val="auto"/>
                      <w:szCs w:val="21"/>
                    </w:rPr>
                  </w:pPr>
                  <w:r>
                    <w:rPr>
                      <w:rFonts w:hint="eastAsia"/>
                      <w:color w:val="auto"/>
                      <w:szCs w:val="21"/>
                    </w:rPr>
                    <w:t>遗体处置清洗、消毒废水</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olor w:val="auto"/>
                      <w:szCs w:val="21"/>
                    </w:rPr>
                  </w:pPr>
                  <w:r>
                    <w:rPr>
                      <w:rFonts w:hint="eastAsia"/>
                      <w:color w:val="auto"/>
                      <w:szCs w:val="21"/>
                    </w:rPr>
                    <w:t>1.44</w:t>
                  </w:r>
                </w:p>
              </w:tc>
              <w:tc>
                <w:tcPr>
                  <w:tcW w:w="2195" w:type="pct"/>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olor w:val="auto"/>
                      <w:szCs w:val="21"/>
                    </w:rPr>
                  </w:pPr>
                  <w:r>
                    <w:rPr>
                      <w:rFonts w:hint="eastAsia" w:hAnsi="宋体"/>
                      <w:color w:val="auto"/>
                      <w:szCs w:val="21"/>
                    </w:rPr>
                    <w:t>遗体处置清洗、消毒废水，专用殡仪车辆清洗、消毒废水</w:t>
                  </w:r>
                  <w:r>
                    <w:rPr>
                      <w:rFonts w:hint="eastAsia" w:hAnsi="宋体"/>
                      <w:color w:val="auto"/>
                      <w:szCs w:val="21"/>
                      <w:lang w:val="en-US" w:eastAsia="zh-CN"/>
                    </w:rPr>
                    <w:t>以及地坪清洗废水中的直接冲洗废水</w:t>
                  </w:r>
                  <w:r>
                    <w:rPr>
                      <w:rFonts w:hint="eastAsia" w:hAnsi="宋体"/>
                      <w:color w:val="auto"/>
                      <w:szCs w:val="21"/>
                      <w:lang w:eastAsia="zh-CN"/>
                    </w:rPr>
                    <w:t>，</w:t>
                  </w:r>
                  <w:r>
                    <w:rPr>
                      <w:rFonts w:hint="eastAsia" w:hAnsi="宋体"/>
                      <w:color w:val="auto"/>
                      <w:szCs w:val="21"/>
                    </w:rPr>
                    <w:t>经消毒池预处理后</w:t>
                  </w:r>
                  <w:r>
                    <w:rPr>
                      <w:rFonts w:hint="eastAsia" w:hAnsi="宋体"/>
                      <w:color w:val="auto"/>
                      <w:szCs w:val="21"/>
                      <w:lang w:eastAsia="zh-CN"/>
                    </w:rPr>
                    <w:t>，</w:t>
                  </w:r>
                  <w:r>
                    <w:rPr>
                      <w:rFonts w:hint="eastAsia" w:hAnsi="宋体"/>
                      <w:color w:val="auto"/>
                      <w:szCs w:val="21"/>
                    </w:rPr>
                    <w:t>与其他生活污水一同进入自建污水处理站处理。废水经污水处理站处理后非采暖期（5月至10月）可用于道路浇洒及绿化浇灌，采暖期（11月-4月）定期统一由罐车抽送至五台县生活污水处理厂。</w:t>
                  </w:r>
                </w:p>
              </w:tc>
              <w:tc>
                <w:tcPr>
                  <w:tcW w:w="1104" w:type="pct"/>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olor w:val="auto"/>
                      <w:szCs w:val="21"/>
                    </w:rPr>
                  </w:pPr>
                  <w:r>
                    <w:rPr>
                      <w:rFonts w:hint="eastAsia" w:hAnsi="宋体"/>
                      <w:color w:val="auto"/>
                      <w:szCs w:val="21"/>
                    </w:rPr>
                    <w:t>非采暖期全部回用于道路浇洒及绿化浇灌；</w:t>
                  </w:r>
                </w:p>
                <w:p>
                  <w:pPr>
                    <w:keepNext w:val="0"/>
                    <w:keepLines w:val="0"/>
                    <w:suppressLineNumbers w:val="0"/>
                    <w:autoSpaceDE w:val="0"/>
                    <w:autoSpaceDN w:val="0"/>
                    <w:adjustRightInd w:val="0"/>
                    <w:spacing w:before="0" w:beforeAutospacing="0" w:after="0" w:afterAutospacing="0"/>
                    <w:ind w:left="0" w:right="0"/>
                    <w:jc w:val="center"/>
                    <w:rPr>
                      <w:rFonts w:hint="eastAsia" w:hAnsi="宋体"/>
                      <w:color w:val="auto"/>
                      <w:szCs w:val="21"/>
                    </w:rPr>
                  </w:pPr>
                  <w:r>
                    <w:rPr>
                      <w:rFonts w:hint="eastAsia" w:hAnsi="宋体"/>
                      <w:color w:val="auto"/>
                      <w:szCs w:val="21"/>
                    </w:rPr>
                    <w:t>采暖期定期统一</w:t>
                  </w:r>
                  <w:r>
                    <w:rPr>
                      <w:rFonts w:hint="eastAsia" w:hAnsi="宋体"/>
                      <w:bCs/>
                      <w:color w:val="auto"/>
                      <w:szCs w:val="21"/>
                    </w:rPr>
                    <w:t>由罐车</w:t>
                  </w:r>
                  <w:r>
                    <w:rPr>
                      <w:rFonts w:hint="eastAsia" w:hAnsi="宋体"/>
                      <w:color w:val="auto"/>
                      <w:szCs w:val="21"/>
                    </w:rPr>
                    <w:t>抽送至五台县生活污水处理厂，排放量</w:t>
                  </w:r>
                  <w:r>
                    <w:rPr>
                      <w:rFonts w:hint="eastAsia" w:hAnsi="宋体"/>
                      <w:color w:val="auto"/>
                      <w:szCs w:val="21"/>
                      <w:lang w:val="en-US" w:eastAsia="zh-CN"/>
                    </w:rPr>
                    <w:t>11.57</w:t>
                  </w:r>
                  <w:r>
                    <w:rPr>
                      <w:rFonts w:hint="eastAsia" w:hAnsi="宋体"/>
                      <w:color w:val="auto"/>
                      <w:szCs w:val="21"/>
                    </w:rPr>
                    <w:t>m</w:t>
                  </w:r>
                  <w:r>
                    <w:rPr>
                      <w:rFonts w:hint="eastAsia" w:hAnsi="宋体"/>
                      <w:color w:val="auto"/>
                      <w:szCs w:val="21"/>
                      <w:vertAlign w:val="superscript"/>
                    </w:rPr>
                    <w:t>3</w:t>
                  </w:r>
                  <w:r>
                    <w:rPr>
                      <w:rFonts w:hint="eastAsia" w:hAnsi="宋体"/>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color w:val="auto"/>
                      <w:szCs w:val="21"/>
                    </w:rPr>
                    <w:t>专用殡仪车辆清洗、消毒废水</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39</w:t>
                  </w:r>
                </w:p>
              </w:tc>
              <w:tc>
                <w:tcPr>
                  <w:tcW w:w="2195"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c>
                <w:tcPr>
                  <w:tcW w:w="1104"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7" w:type="dxa"/>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color w:val="auto"/>
                      <w:szCs w:val="21"/>
                    </w:rPr>
                  </w:pPr>
                  <w:r>
                    <w:rPr>
                      <w:rFonts w:hint="eastAsia" w:eastAsia="宋体"/>
                      <w:color w:val="auto"/>
                      <w:sz w:val="21"/>
                      <w:szCs w:val="21"/>
                      <w:lang w:val="en-US" w:eastAsia="zh-CN"/>
                    </w:rPr>
                    <w:t>地坪清洗用水-直接冲洗</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2.74</w:t>
                  </w:r>
                </w:p>
              </w:tc>
              <w:tc>
                <w:tcPr>
                  <w:tcW w:w="2195"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c>
                <w:tcPr>
                  <w:tcW w:w="1104"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7" w:type="dxa"/>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color w:val="auto"/>
                      <w:szCs w:val="21"/>
                    </w:rPr>
                  </w:pPr>
                  <w:r>
                    <w:rPr>
                      <w:rFonts w:hint="eastAsia" w:eastAsia="宋体"/>
                      <w:color w:val="auto"/>
                      <w:sz w:val="21"/>
                      <w:szCs w:val="21"/>
                      <w:lang w:val="en-US" w:eastAsia="zh-CN"/>
                    </w:rPr>
                    <w:t>地坪清洗用水-拖布清洗</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1.46</w:t>
                  </w:r>
                </w:p>
              </w:tc>
              <w:tc>
                <w:tcPr>
                  <w:tcW w:w="2195"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c>
                <w:tcPr>
                  <w:tcW w:w="1104"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7" w:type="dxa"/>
                  <w:vAlign w:val="center"/>
                </w:tcPr>
                <w:p>
                  <w:pPr>
                    <w:pStyle w:val="59"/>
                    <w:keepNext w:val="0"/>
                    <w:keepLines w:val="0"/>
                    <w:suppressLineNumbers w:val="0"/>
                    <w:snapToGrid/>
                    <w:spacing w:before="0" w:beforeAutospacing="0" w:after="0" w:afterAutospacing="0" w:line="240" w:lineRule="auto"/>
                    <w:ind w:left="0" w:leftChars="0" w:right="0" w:rightChars="0"/>
                    <w:rPr>
                      <w:rFonts w:hint="eastAsia"/>
                      <w:color w:val="auto"/>
                      <w:szCs w:val="21"/>
                    </w:rPr>
                  </w:pPr>
                  <w:r>
                    <w:rPr>
                      <w:rFonts w:hint="eastAsia" w:eastAsia="宋体"/>
                      <w:color w:val="auto"/>
                      <w:sz w:val="21"/>
                      <w:szCs w:val="21"/>
                    </w:rPr>
                    <w:t>烟气处理设施急冷装置循环冷却水用水</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0.36</w:t>
                  </w:r>
                </w:p>
              </w:tc>
              <w:tc>
                <w:tcPr>
                  <w:tcW w:w="2195"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c>
                <w:tcPr>
                  <w:tcW w:w="1104"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color w:val="auto"/>
                      <w:szCs w:val="21"/>
                    </w:rPr>
                    <w:t>来访人员及工作人员生活污水</w:t>
                  </w:r>
                </w:p>
              </w:tc>
              <w:tc>
                <w:tcPr>
                  <w:tcW w:w="591" w:type="pct"/>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r>
                    <w:rPr>
                      <w:rFonts w:hint="eastAsia"/>
                      <w:color w:val="auto"/>
                      <w:szCs w:val="21"/>
                    </w:rPr>
                    <w:t>5.28</w:t>
                  </w:r>
                </w:p>
              </w:tc>
              <w:tc>
                <w:tcPr>
                  <w:tcW w:w="2195"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c>
                <w:tcPr>
                  <w:tcW w:w="1104" w:type="pct"/>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rPr>
                  </w:pP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综上所述，本项目产生的</w:t>
            </w:r>
            <w:r>
              <w:rPr>
                <w:rFonts w:hint="eastAsia"/>
                <w:color w:val="auto"/>
                <w:sz w:val="24"/>
              </w:rPr>
              <w:t>遗体处置清洗、消毒废水，专用殡仪车辆清洗、消毒废水</w:t>
            </w:r>
            <w:r>
              <w:rPr>
                <w:rFonts w:hint="eastAsia"/>
                <w:color w:val="auto"/>
                <w:sz w:val="24"/>
                <w:lang w:val="en-US" w:eastAsia="zh-CN"/>
              </w:rPr>
              <w:t>以及地坪清洗废水中的直接冲洗废水</w:t>
            </w:r>
            <w:r>
              <w:rPr>
                <w:rFonts w:hint="eastAsia"/>
                <w:color w:val="auto"/>
                <w:sz w:val="24"/>
                <w:lang w:eastAsia="zh-CN"/>
              </w:rPr>
              <w:t>，</w:t>
            </w:r>
            <w:r>
              <w:rPr>
                <w:rFonts w:hint="eastAsia"/>
                <w:color w:val="auto"/>
                <w:sz w:val="24"/>
              </w:rPr>
              <w:t>经消毒池预处理后</w:t>
            </w:r>
            <w:r>
              <w:rPr>
                <w:rFonts w:hint="eastAsia"/>
                <w:color w:val="auto"/>
                <w:sz w:val="24"/>
                <w:lang w:eastAsia="zh-CN"/>
              </w:rPr>
              <w:t>，</w:t>
            </w:r>
            <w:r>
              <w:rPr>
                <w:rFonts w:hint="eastAsia"/>
                <w:color w:val="auto"/>
                <w:sz w:val="24"/>
              </w:rPr>
              <w:t>与其他生活污水一同进入自建污水处理站处理</w:t>
            </w:r>
            <w:r>
              <w:rPr>
                <w:rFonts w:hint="eastAsia"/>
                <w:bCs/>
                <w:color w:val="auto"/>
                <w:sz w:val="24"/>
              </w:rPr>
              <w:t>；废水经污水处理站处理后非采暖期（5月至10月）可用于绿化</w:t>
            </w:r>
            <w:r>
              <w:rPr>
                <w:rFonts w:hint="eastAsia"/>
                <w:bCs/>
                <w:color w:val="auto"/>
                <w:sz w:val="24"/>
                <w:lang w:val="en-US" w:eastAsia="zh-CN"/>
              </w:rPr>
              <w:t>用水</w:t>
            </w:r>
            <w:r>
              <w:rPr>
                <w:rFonts w:hint="eastAsia"/>
                <w:bCs/>
                <w:color w:val="auto"/>
                <w:sz w:val="24"/>
              </w:rPr>
              <w:t>，不外排；采暖期（11月-4月）定期统一由罐车抽送至五台县生活污水处理厂处理。</w:t>
            </w:r>
            <w:r>
              <w:rPr>
                <w:rFonts w:hint="eastAsia"/>
                <w:color w:val="auto"/>
                <w:sz w:val="24"/>
              </w:rPr>
              <w:t>本项目委托污水处理厂罐车进行污水抽送，不自备污水罐车。</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本项目无废水直接外排，对区域水环境影响较小。</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color w:val="auto"/>
                <w:sz w:val="24"/>
                <w:szCs w:val="32"/>
              </w:rPr>
            </w:pPr>
            <w:r>
              <w:rPr>
                <w:rFonts w:hint="eastAsia"/>
                <w:b/>
                <w:color w:val="auto"/>
                <w:sz w:val="24"/>
                <w:szCs w:val="32"/>
              </w:rPr>
              <w:t>地埋式一体化污水处理站工艺流程。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szCs w:val="32"/>
              </w:rPr>
            </w:pPr>
            <w:r>
              <w:rPr>
                <w:rFonts w:hint="eastAsia"/>
                <w:bCs/>
                <w:color w:val="auto"/>
                <w:sz w:val="24"/>
                <w:szCs w:val="32"/>
              </w:rPr>
              <w:t>本项目产生的废水经</w:t>
            </w:r>
            <w:r>
              <w:rPr>
                <w:rFonts w:hint="eastAsia"/>
                <w:bCs/>
                <w:color w:val="auto"/>
                <w:sz w:val="24"/>
                <w:szCs w:val="32"/>
                <w:lang w:val="en-US" w:eastAsia="zh-CN"/>
              </w:rPr>
              <w:t>1套处理能力为20m</w:t>
            </w:r>
            <w:r>
              <w:rPr>
                <w:rFonts w:hint="eastAsia"/>
                <w:bCs/>
                <w:color w:val="auto"/>
                <w:sz w:val="24"/>
                <w:szCs w:val="32"/>
                <w:vertAlign w:val="superscript"/>
                <w:lang w:val="en-US" w:eastAsia="zh-CN"/>
              </w:rPr>
              <w:t>3</w:t>
            </w:r>
            <w:r>
              <w:rPr>
                <w:rFonts w:hint="eastAsia"/>
                <w:bCs/>
                <w:color w:val="auto"/>
                <w:sz w:val="24"/>
                <w:szCs w:val="32"/>
                <w:vertAlign w:val="baseline"/>
                <w:lang w:val="en-US" w:eastAsia="zh-CN"/>
              </w:rPr>
              <w:t>/d的</w:t>
            </w:r>
            <w:r>
              <w:rPr>
                <w:rFonts w:hint="eastAsia"/>
                <w:bCs/>
                <w:color w:val="auto"/>
                <w:sz w:val="24"/>
                <w:szCs w:val="32"/>
              </w:rPr>
              <w:t>地埋式一体化污水处理设施</w:t>
            </w:r>
            <w:r>
              <w:rPr>
                <w:rFonts w:hint="eastAsia"/>
                <w:bCs/>
                <w:color w:val="auto"/>
                <w:sz w:val="24"/>
                <w:szCs w:val="32"/>
                <w:lang w:eastAsia="zh-CN"/>
              </w:rPr>
              <w:t>（</w:t>
            </w:r>
            <w:r>
              <w:rPr>
                <w:rFonts w:hint="eastAsia"/>
                <w:bCs/>
                <w:color w:val="auto"/>
                <w:sz w:val="24"/>
                <w:szCs w:val="32"/>
                <w:lang w:val="en-US" w:eastAsia="zh-CN"/>
              </w:rPr>
              <w:t>包括深度处理</w:t>
            </w:r>
            <w:r>
              <w:rPr>
                <w:rFonts w:hint="eastAsia"/>
                <w:bCs/>
                <w:color w:val="auto"/>
                <w:sz w:val="24"/>
                <w:szCs w:val="32"/>
                <w:lang w:eastAsia="zh-CN"/>
              </w:rPr>
              <w:t>）</w:t>
            </w:r>
            <w:r>
              <w:rPr>
                <w:rFonts w:hint="eastAsia"/>
                <w:bCs/>
                <w:color w:val="auto"/>
                <w:sz w:val="24"/>
                <w:szCs w:val="32"/>
              </w:rPr>
              <w:t>处理达</w:t>
            </w:r>
            <w:r>
              <w:rPr>
                <w:rFonts w:hint="eastAsia"/>
                <w:bCs/>
                <w:color w:val="auto"/>
                <w:sz w:val="24"/>
                <w:szCs w:val="32"/>
                <w:lang w:val="en-US" w:eastAsia="zh-CN"/>
              </w:rPr>
              <w:t>到</w:t>
            </w:r>
            <w:r>
              <w:rPr>
                <w:rFonts w:hint="eastAsia"/>
                <w:bCs/>
                <w:color w:val="auto"/>
                <w:sz w:val="24"/>
                <w:szCs w:val="32"/>
              </w:rPr>
              <w:t>《城市污水再生利用 城市杂用水水质》（GB18920-2020）中城市绿化水质标准后在非采暖期回用于道路浇洒及绿化浇灌。本项目地埋式一体化污水处理设施处理工艺见下图：</w:t>
            </w:r>
          </w:p>
          <w:p>
            <w:pPr>
              <w:keepNext w:val="0"/>
              <w:keepLines w:val="0"/>
              <w:suppressLineNumbers w:val="0"/>
              <w:adjustRightInd w:val="0"/>
              <w:snapToGrid w:val="0"/>
              <w:spacing w:before="0" w:beforeAutospacing="0" w:after="0" w:afterAutospacing="0"/>
              <w:ind w:left="0" w:right="0"/>
              <w:jc w:val="center"/>
              <w:rPr>
                <w:rFonts w:hint="eastAsia"/>
                <w:bCs/>
                <w:color w:val="auto"/>
                <w:sz w:val="24"/>
                <w:szCs w:val="32"/>
              </w:rPr>
            </w:pPr>
            <w:r>
              <w:rPr>
                <w:rFonts w:hint="eastAsia"/>
                <w:bCs/>
                <w:color w:val="auto"/>
                <w:sz w:val="24"/>
                <w:szCs w:val="32"/>
              </w:rPr>
              <w:object>
                <v:shape id="_x0000_i1028" o:spt="75" type="#_x0000_t75" style="height:220.05pt;width:421.1pt;" o:ole="t" filled="f" o:preferrelative="t" stroked="f" coordsize="21600,21600">
                  <v:path/>
                  <v:fill on="f" focussize="0,0"/>
                  <v:stroke on="f"/>
                  <v:imagedata r:id="rId29" o:title=""/>
                  <o:lock v:ext="edit" aspectratio="f"/>
                  <w10:wrap type="none"/>
                  <w10:anchorlock/>
                </v:shape>
                <o:OLEObject Type="Embed" ProgID="Visio.Drawing.15" ShapeID="_x0000_i1028" DrawAspect="Content" ObjectID="_1468075728" r:id="rId28">
                  <o:LockedField>false</o:LockedField>
                </o:OLEObject>
              </w:objec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szCs w:val="32"/>
              </w:rPr>
            </w:pPr>
            <w:r>
              <w:rPr>
                <w:rFonts w:hint="eastAsia" w:ascii="黑体" w:hAnsi="黑体" w:eastAsia="黑体"/>
                <w:bCs/>
                <w:color w:val="auto"/>
                <w:sz w:val="24"/>
                <w:szCs w:val="32"/>
              </w:rPr>
              <w:t>图4-2  本项目地埋式一体化污水处理设施处理工艺</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szCs w:val="32"/>
                <w:lang w:eastAsia="zh-CN"/>
              </w:rPr>
            </w:pPr>
            <w:r>
              <w:rPr>
                <w:rFonts w:hint="eastAsia"/>
                <w:color w:val="auto"/>
                <w:sz w:val="24"/>
              </w:rPr>
              <w:t>本项目产生废水基本为生活污水，污染物成分不复杂，浓度不高。项目自建污水处理站拟采用一体化污水处理设备处理项目废水，主要处理工艺为生物接触氧化法，该处理工艺是以附着在载体（俗称填料）上的生物膜为主，净化有机废水的一种高效水处理工艺，兼有活性污泥和生物膜法的优点，对水质的适应性强，耐冲击负荷性能好，出水水质稳定，不会产生污泥膨胀，对氨氮、COD、BOD</w:t>
            </w:r>
            <w:r>
              <w:rPr>
                <w:rFonts w:hint="eastAsia"/>
                <w:color w:val="auto"/>
                <w:sz w:val="24"/>
                <w:vertAlign w:val="subscript"/>
              </w:rPr>
              <w:t>5</w:t>
            </w:r>
            <w:r>
              <w:rPr>
                <w:rFonts w:hint="eastAsia"/>
                <w:color w:val="auto"/>
                <w:sz w:val="24"/>
              </w:rPr>
              <w:t>、SS等废水污染物具有良好的祛除效果；该工艺因具有高效节能、占地面积小，耐冲击负荷、运行管理方便等特点而广泛应用于各行各业的污水处理系统。</w:t>
            </w:r>
            <w:r>
              <w:rPr>
                <w:rFonts w:hint="eastAsia"/>
                <w:color w:val="auto"/>
                <w:sz w:val="24"/>
                <w:lang w:val="en-US" w:eastAsia="zh-CN"/>
              </w:rPr>
              <w:t>后续通过增加深度处理单元能够使出水达到</w:t>
            </w:r>
            <w:r>
              <w:rPr>
                <w:rFonts w:hint="eastAsia"/>
                <w:bCs/>
                <w:color w:val="auto"/>
                <w:sz w:val="24"/>
                <w:szCs w:val="32"/>
              </w:rPr>
              <w:t>《城市污水再生利用 城市杂用水水质》（GB18920-2020）中城市绿化水质标准</w:t>
            </w:r>
            <w:r>
              <w:rPr>
                <w:rFonts w:hint="eastAsia"/>
                <w:bCs/>
                <w:color w:val="auto"/>
                <w:sz w:val="24"/>
                <w:szCs w:val="32"/>
                <w:lang w:eastAsia="zh-CN"/>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污水处理站具体工艺如下：</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①污水经污水管网收集后进入格栅井，由于水量很小，因此放弃采用传统粗、细格栅，采用自动提篮格栅，提篮格栅为双层结构，格栅间隙分别为20mm和3mm，截流污水中的较大颗粒物；</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②污水经提升进入调节水池，调节池对污水进行水量和水质的调节和均化；</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③调节池的污水通过提升泵进行二级提升到一体化生化反应器的前端，污水在该反应器中经过微生物的厌氧、缺氧、好氧反应后，污水中的总氮、总磷、COD、BOD、氨氮等均得到有效的降低。特别是在好氧区，污水中的有机物、氨氮等污染物在生物高效新陈代谢作用下将被快速去除；</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szCs w:val="32"/>
                <w:lang w:eastAsia="zh-CN"/>
              </w:rPr>
            </w:pPr>
            <w:r>
              <w:rPr>
                <w:rFonts w:hint="eastAsia"/>
                <w:bCs/>
                <w:color w:val="auto"/>
                <w:sz w:val="24"/>
                <w:szCs w:val="32"/>
                <w:lang w:val="en-US" w:eastAsia="zh-CN"/>
              </w:rPr>
              <w:t>④污水经O级生化池处理后，水中含有大量悬浮固体物（生物膜脱落）,项目采用竖流式沉淀池来进行固液分离。沉淀池污泥采采用气提设备提至污泥池，同时可根据实际水质情况将污泥部分提至A级生化池进行污泥回流，提高去除效率；</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⑤污⽔深度处理是指污水经一级、二级处理后，为了达到一定的回用水标准使污水作为水资源回用于生产或生活的进一步水处理过程；本项目采用混凝沉淀+活性炭吸附的深度处理工艺；混凝沉淀为向水中投加化学药剂，药剂水解后与污染物相互作用，通过混凝过程形成大颗粒絮体，通过沉淀或气浮到分离；活性炭吸附能有效去除SS、BOD、重金属、细菌、化学絮凝剂产生的Al、Fe盐及石灰等沉淀物等；从而使出水达到回用水标准；</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⑥消毒池接触时间为30分钟，消毒采用次氯酸钠消毒。投加量为4－6mg/L.经过生化、沉淀、深度处理后的处理水再进行消毒处理</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污水处理站主要设备一览表见下表。</w:t>
            </w:r>
          </w:p>
          <w:p>
            <w:pPr>
              <w:keepNext w:val="0"/>
              <w:keepLines w:val="0"/>
              <w:suppressLineNumbers w:val="0"/>
              <w:autoSpaceDE w:val="0"/>
              <w:autoSpaceDN w:val="0"/>
              <w:adjustRightInd w:val="0"/>
              <w:spacing w:before="0" w:beforeAutospacing="0" w:after="0" w:afterAutospacing="0" w:line="480" w:lineRule="exact"/>
              <w:ind w:left="0" w:right="0"/>
              <w:jc w:val="center"/>
              <w:rPr>
                <w:rFonts w:hint="eastAsia" w:ascii="黑体" w:hAnsi="黑体" w:eastAsia="黑体"/>
                <w:color w:val="auto"/>
                <w:sz w:val="24"/>
                <w:szCs w:val="32"/>
              </w:rPr>
            </w:pPr>
            <w:r>
              <w:rPr>
                <w:rFonts w:hint="eastAsia" w:ascii="黑体" w:hAnsi="黑体" w:eastAsia="黑体"/>
                <w:color w:val="auto"/>
                <w:sz w:val="24"/>
                <w:szCs w:val="32"/>
              </w:rPr>
              <w:t>表4-1</w:t>
            </w:r>
            <w:r>
              <w:rPr>
                <w:rFonts w:hint="eastAsia" w:ascii="黑体" w:hAnsi="黑体" w:eastAsia="黑体"/>
                <w:color w:val="auto"/>
                <w:sz w:val="24"/>
                <w:szCs w:val="32"/>
                <w:lang w:val="en-US" w:eastAsia="zh-CN"/>
              </w:rPr>
              <w:t>5</w:t>
            </w:r>
            <w:r>
              <w:rPr>
                <w:rFonts w:hint="eastAsia" w:ascii="黑体" w:hAnsi="黑体" w:eastAsia="黑体"/>
                <w:color w:val="auto"/>
                <w:sz w:val="24"/>
                <w:szCs w:val="32"/>
              </w:rPr>
              <w:t xml:space="preserve">  </w:t>
            </w:r>
            <w:r>
              <w:rPr>
                <w:rFonts w:hint="eastAsia" w:ascii="黑体" w:hAnsi="黑体" w:eastAsia="黑体"/>
                <w:color w:val="auto"/>
                <w:sz w:val="24"/>
                <w:szCs w:val="32"/>
                <w:lang w:val="en-US" w:eastAsia="zh-CN"/>
              </w:rPr>
              <w:t>污水处理站主要设备一览表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69"/>
              <w:gridCol w:w="3272"/>
              <w:gridCol w:w="818"/>
              <w:gridCol w:w="800"/>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规格和型号</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数量</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电动提篮格栅井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提篮格栅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（304不锈钢）</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格栅间距：20mm及3mm，安装角度90°</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潜污泵</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型号：50WQ20-7-0.75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功率：0.75kW</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液位计</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量程：0-7m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yellow"/>
                    </w:rPr>
                  </w:pPr>
                  <w:r>
                    <w:rPr>
                      <w:rFonts w:hint="default" w:ascii="Times New Roman" w:hAnsi="Times New Roman" w:eastAsia="宋体" w:cs="Times New Roman"/>
                      <w:b/>
                      <w:color w:val="auto"/>
                      <w:sz w:val="21"/>
                      <w:szCs w:val="21"/>
                    </w:rPr>
                    <w:t>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潜污泵</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型号：50WQ10-10-0.75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功率：0.75kW</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液位计</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量程：0-5m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电磁流量计</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DN50，计量范围0-15m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yellow"/>
                    </w:rPr>
                  </w:pPr>
                  <w:r>
                    <w:rPr>
                      <w:rFonts w:hint="default" w:ascii="Times New Roman" w:hAnsi="Times New Roman" w:eastAsia="宋体" w:cs="Times New Roman"/>
                      <w:b/>
                      <w:color w:val="auto"/>
                      <w:sz w:val="21"/>
                      <w:szCs w:val="21"/>
                    </w:rPr>
                    <w:t>一体化生化反应器（1套）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反应器箱体</w:t>
                  </w:r>
                </w:p>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（304不锈钢）</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12m×2.5m×2.5m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填料</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辫带直径：50mm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潜水搅拌器</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0.55kw</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SATBR</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SATBR2.0×2.0，1.1kw</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内循环泵</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50WQ20-5-0.75</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电磁流量计</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DN50，计量范围0-35m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yellow"/>
                    </w:rPr>
                  </w:pPr>
                  <w:r>
                    <w:rPr>
                      <w:rFonts w:hint="eastAsia" w:cs="Times New Roman"/>
                      <w:b/>
                      <w:color w:val="auto"/>
                      <w:sz w:val="21"/>
                      <w:szCs w:val="21"/>
                      <w:lang w:val="en-US" w:eastAsia="zh-CN"/>
                    </w:rPr>
                    <w:t>混凝沉淀</w:t>
                  </w:r>
                  <w:r>
                    <w:rPr>
                      <w:rFonts w:hint="default" w:ascii="Times New Roman" w:hAnsi="Times New Roman" w:eastAsia="宋体" w:cs="Times New Roman"/>
                      <w:b/>
                      <w:color w:val="auto"/>
                      <w:sz w:val="21"/>
                      <w:szCs w:val="21"/>
                    </w:rPr>
                    <w:t>反应器（1套）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反应器箱体</w:t>
                  </w:r>
                </w:p>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（304不锈钢）</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3.2m×2.5m×2.5m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769" w:type="dxa"/>
                  <w:noWrap w:val="0"/>
                  <w:vAlign w:val="center"/>
                </w:tcPr>
                <w:p>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斜管填料</w:t>
                  </w:r>
                </w:p>
              </w:tc>
              <w:tc>
                <w:tcPr>
                  <w:tcW w:w="32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L=1.0m</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vertAlign w:val="superscript"/>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7.5</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排泥泵</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GMP-31-50-0.75</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加药除磷设备</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SYJB-500-0.55</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yellow"/>
                    </w:rPr>
                  </w:pPr>
                  <w:r>
                    <w:rPr>
                      <w:rFonts w:hint="default" w:ascii="Times New Roman" w:hAnsi="Times New Roman" w:eastAsia="宋体" w:cs="Times New Roman"/>
                      <w:b/>
                      <w:color w:val="auto"/>
                      <w:sz w:val="21"/>
                      <w:szCs w:val="21"/>
                    </w:rPr>
                    <w:t>深度过滤系统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活性炭</w:t>
                  </w:r>
                  <w:r>
                    <w:rPr>
                      <w:rFonts w:hint="default" w:ascii="Times New Roman" w:hAnsi="Times New Roman" w:eastAsia="宋体" w:cs="Times New Roman"/>
                      <w:color w:val="auto"/>
                      <w:sz w:val="21"/>
                      <w:szCs w:val="21"/>
                    </w:rPr>
                    <w:t>过滤器</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Φ=0.8m，H=2.7m</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清水罐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（304不锈钢）</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V=5m</w:t>
                  </w:r>
                  <w:r>
                    <w:rPr>
                      <w:rFonts w:hint="default" w:ascii="Times New Roman" w:hAnsi="Times New Roman" w:eastAsia="宋体" w:cs="Times New Roman"/>
                      <w:color w:val="auto"/>
                      <w:sz w:val="21"/>
                      <w:szCs w:val="21"/>
                      <w:vertAlign w:val="superscript"/>
                    </w:rPr>
                    <w:t>3</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液位计</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量程0-3m</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提升泵</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SLS40-160(I)，4Kw</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6" w:type="dxa"/>
                  <w:gridSpan w:val="6"/>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eastAsia" w:cs="Times New Roman"/>
                      <w:color w:val="auto"/>
                      <w:sz w:val="21"/>
                      <w:szCs w:val="21"/>
                      <w:lang w:val="en-US" w:eastAsia="zh-CN"/>
                    </w:rPr>
                    <w:t>1</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配套管路阀门（不锈钢）</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eastAsia" w:cs="Times New Roman"/>
                      <w:color w:val="auto"/>
                      <w:sz w:val="21"/>
                      <w:szCs w:val="21"/>
                      <w:lang w:val="en-US" w:eastAsia="zh-CN"/>
                    </w:rPr>
                    <w:t>2</w:t>
                  </w:r>
                </w:p>
              </w:tc>
              <w:tc>
                <w:tcPr>
                  <w:tcW w:w="17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电控（户外型）</w:t>
                  </w:r>
                </w:p>
              </w:tc>
              <w:tc>
                <w:tcPr>
                  <w:tcW w:w="327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w:t>
                  </w:r>
                </w:p>
              </w:tc>
              <w:tc>
                <w:tcPr>
                  <w:tcW w:w="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8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0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auto"/>
                <w:sz w:val="24"/>
                <w:szCs w:val="32"/>
                <w:lang w:val="en-US" w:eastAsia="zh-CN"/>
              </w:rPr>
            </w:pPr>
            <w:r>
              <w:rPr>
                <w:rFonts w:hint="eastAsia"/>
                <w:bCs/>
                <w:color w:val="auto"/>
                <w:sz w:val="24"/>
                <w:szCs w:val="32"/>
                <w:lang w:val="en-US" w:eastAsia="zh-CN"/>
              </w:rPr>
              <w:t>本项目</w:t>
            </w:r>
            <w:r>
              <w:rPr>
                <w:rFonts w:hint="eastAsia"/>
                <w:bCs/>
                <w:color w:val="auto"/>
                <w:sz w:val="24"/>
                <w:szCs w:val="32"/>
                <w:lang w:eastAsia="zh-CN"/>
              </w:rPr>
              <w:t>污水处理设施设计指标为生活污水</w:t>
            </w:r>
            <w:r>
              <w:rPr>
                <w:rFonts w:hint="eastAsia"/>
                <w:bCs/>
                <w:color w:val="auto"/>
                <w:sz w:val="24"/>
                <w:szCs w:val="32"/>
                <w:lang w:val="en-US" w:eastAsia="zh-CN"/>
              </w:rPr>
              <w:t>20m</w:t>
            </w:r>
            <w:r>
              <w:rPr>
                <w:rFonts w:hint="eastAsia"/>
                <w:bCs/>
                <w:color w:val="auto"/>
                <w:sz w:val="24"/>
                <w:szCs w:val="32"/>
                <w:vertAlign w:val="superscript"/>
                <w:lang w:val="en-US" w:eastAsia="zh-CN"/>
              </w:rPr>
              <w:t>3</w:t>
            </w:r>
            <w:r>
              <w:rPr>
                <w:rFonts w:hint="eastAsia"/>
                <w:bCs/>
                <w:color w:val="auto"/>
                <w:sz w:val="24"/>
                <w:szCs w:val="32"/>
                <w:lang w:eastAsia="zh-CN"/>
              </w:rPr>
              <w:t>/d，</w:t>
            </w:r>
            <w:r>
              <w:rPr>
                <w:rFonts w:hint="eastAsia"/>
                <w:bCs/>
                <w:color w:val="auto"/>
                <w:sz w:val="24"/>
                <w:szCs w:val="32"/>
                <w:lang w:val="en-US" w:eastAsia="zh-CN"/>
              </w:rPr>
              <w:t>平均进水浓度要求为</w:t>
            </w:r>
            <w:r>
              <w:rPr>
                <w:rFonts w:hint="eastAsia"/>
                <w:bCs/>
                <w:color w:val="auto"/>
                <w:sz w:val="24"/>
                <w:szCs w:val="32"/>
                <w:lang w:eastAsia="zh-CN"/>
              </w:rPr>
              <w:t>COD</w:t>
            </w:r>
            <w:r>
              <w:rPr>
                <w:rFonts w:hint="eastAsia"/>
                <w:bCs/>
                <w:color w:val="auto"/>
                <w:sz w:val="24"/>
                <w:szCs w:val="32"/>
                <w:vertAlign w:val="subscript"/>
                <w:lang w:eastAsia="zh-CN"/>
              </w:rPr>
              <w:t>cr</w:t>
            </w:r>
            <w:r>
              <w:rPr>
                <w:rFonts w:hint="eastAsia"/>
                <w:bCs/>
                <w:color w:val="auto"/>
                <w:sz w:val="24"/>
                <w:szCs w:val="32"/>
                <w:lang w:eastAsia="zh-CN"/>
              </w:rPr>
              <w:t>&lt;350mg/L、BOD</w:t>
            </w:r>
            <w:r>
              <w:rPr>
                <w:rFonts w:hint="eastAsia"/>
                <w:bCs/>
                <w:color w:val="auto"/>
                <w:sz w:val="24"/>
                <w:szCs w:val="32"/>
                <w:vertAlign w:val="subscript"/>
                <w:lang w:eastAsia="zh-CN"/>
              </w:rPr>
              <w:t>5</w:t>
            </w:r>
            <w:r>
              <w:rPr>
                <w:rFonts w:hint="eastAsia"/>
                <w:bCs/>
                <w:color w:val="auto"/>
                <w:sz w:val="24"/>
                <w:szCs w:val="32"/>
                <w:lang w:eastAsia="zh-CN"/>
              </w:rPr>
              <w:t>&lt;</w:t>
            </w:r>
            <w:r>
              <w:rPr>
                <w:rFonts w:hint="eastAsia"/>
                <w:bCs/>
                <w:color w:val="auto"/>
                <w:sz w:val="24"/>
                <w:szCs w:val="32"/>
                <w:lang w:val="en-US" w:eastAsia="zh-CN"/>
              </w:rPr>
              <w:t>200</w:t>
            </w:r>
            <w:r>
              <w:rPr>
                <w:rFonts w:hint="eastAsia"/>
                <w:bCs/>
                <w:color w:val="auto"/>
                <w:sz w:val="24"/>
                <w:szCs w:val="32"/>
                <w:lang w:eastAsia="zh-CN"/>
              </w:rPr>
              <w:t>mg/L、SS&lt;250mg/L、pH6-9、氨氮&lt;</w:t>
            </w:r>
            <w:r>
              <w:rPr>
                <w:rFonts w:hint="eastAsia"/>
                <w:bCs/>
                <w:color w:val="auto"/>
                <w:sz w:val="24"/>
                <w:szCs w:val="32"/>
                <w:lang w:val="en-US" w:eastAsia="zh-CN"/>
              </w:rPr>
              <w:t>20</w:t>
            </w:r>
            <w:r>
              <w:rPr>
                <w:rFonts w:hint="eastAsia"/>
                <w:bCs/>
                <w:color w:val="auto"/>
                <w:sz w:val="24"/>
                <w:szCs w:val="32"/>
                <w:lang w:eastAsia="zh-CN"/>
              </w:rPr>
              <w:t>mg/L；</w:t>
            </w:r>
            <w:r>
              <w:rPr>
                <w:rFonts w:hint="eastAsia"/>
                <w:bCs/>
                <w:color w:val="auto"/>
                <w:sz w:val="24"/>
                <w:szCs w:val="32"/>
                <w:lang w:val="en-US" w:eastAsia="zh-CN"/>
              </w:rPr>
              <w:t>出水水质为</w:t>
            </w:r>
            <w:r>
              <w:rPr>
                <w:rFonts w:hint="eastAsia"/>
                <w:bCs/>
                <w:color w:val="auto"/>
                <w:sz w:val="24"/>
                <w:szCs w:val="32"/>
                <w:lang w:eastAsia="zh-CN"/>
              </w:rPr>
              <w:t>COD</w:t>
            </w:r>
            <w:r>
              <w:rPr>
                <w:rFonts w:hint="eastAsia"/>
                <w:bCs/>
                <w:color w:val="auto"/>
                <w:sz w:val="24"/>
                <w:szCs w:val="32"/>
                <w:vertAlign w:val="subscript"/>
                <w:lang w:eastAsia="zh-CN"/>
              </w:rPr>
              <w:t>cr</w:t>
            </w:r>
            <w:r>
              <w:rPr>
                <w:rFonts w:hint="eastAsia"/>
                <w:bCs/>
                <w:color w:val="auto"/>
                <w:sz w:val="24"/>
                <w:szCs w:val="32"/>
                <w:lang w:eastAsia="zh-CN"/>
              </w:rPr>
              <w:t>&lt;</w:t>
            </w:r>
            <w:r>
              <w:rPr>
                <w:rFonts w:hint="eastAsia"/>
                <w:bCs/>
                <w:color w:val="auto"/>
                <w:sz w:val="24"/>
                <w:szCs w:val="32"/>
                <w:lang w:val="en-US" w:eastAsia="zh-CN"/>
              </w:rPr>
              <w:t>50</w:t>
            </w:r>
            <w:r>
              <w:rPr>
                <w:rFonts w:hint="eastAsia"/>
                <w:bCs/>
                <w:color w:val="auto"/>
                <w:sz w:val="24"/>
                <w:szCs w:val="32"/>
                <w:lang w:eastAsia="zh-CN"/>
              </w:rPr>
              <w:t>mg/L、BOD</w:t>
            </w:r>
            <w:r>
              <w:rPr>
                <w:rFonts w:hint="eastAsia"/>
                <w:bCs/>
                <w:color w:val="auto"/>
                <w:sz w:val="24"/>
                <w:szCs w:val="32"/>
                <w:vertAlign w:val="subscript"/>
                <w:lang w:eastAsia="zh-CN"/>
              </w:rPr>
              <w:t>5</w:t>
            </w:r>
            <w:r>
              <w:rPr>
                <w:rFonts w:hint="eastAsia"/>
                <w:bCs/>
                <w:color w:val="auto"/>
                <w:sz w:val="24"/>
                <w:szCs w:val="32"/>
                <w:lang w:eastAsia="zh-CN"/>
              </w:rPr>
              <w:t>&lt;</w:t>
            </w:r>
            <w:r>
              <w:rPr>
                <w:rFonts w:hint="eastAsia"/>
                <w:bCs/>
                <w:color w:val="auto"/>
                <w:sz w:val="24"/>
                <w:szCs w:val="32"/>
                <w:lang w:val="en-US" w:eastAsia="zh-CN"/>
              </w:rPr>
              <w:t>10</w:t>
            </w:r>
            <w:r>
              <w:rPr>
                <w:rFonts w:hint="eastAsia"/>
                <w:bCs/>
                <w:color w:val="auto"/>
                <w:sz w:val="24"/>
                <w:szCs w:val="32"/>
                <w:lang w:eastAsia="zh-CN"/>
              </w:rPr>
              <w:t>mg/L、SS&lt;</w:t>
            </w:r>
            <w:r>
              <w:rPr>
                <w:rFonts w:hint="eastAsia"/>
                <w:bCs/>
                <w:color w:val="auto"/>
                <w:sz w:val="24"/>
                <w:szCs w:val="32"/>
                <w:lang w:val="en-US" w:eastAsia="zh-CN"/>
              </w:rPr>
              <w:t>20</w:t>
            </w:r>
            <w:r>
              <w:rPr>
                <w:rFonts w:hint="eastAsia"/>
                <w:bCs/>
                <w:color w:val="auto"/>
                <w:sz w:val="24"/>
                <w:szCs w:val="32"/>
                <w:lang w:eastAsia="zh-CN"/>
              </w:rPr>
              <w:t>mg/L、pH6-9、氨氮&lt;</w:t>
            </w:r>
            <w:r>
              <w:rPr>
                <w:rFonts w:hint="eastAsia"/>
                <w:bCs/>
                <w:color w:val="auto"/>
                <w:sz w:val="24"/>
                <w:szCs w:val="32"/>
                <w:lang w:val="en-US" w:eastAsia="zh-CN"/>
              </w:rPr>
              <w:t>5</w:t>
            </w:r>
            <w:r>
              <w:rPr>
                <w:rFonts w:hint="eastAsia"/>
                <w:bCs/>
                <w:color w:val="auto"/>
                <w:sz w:val="24"/>
                <w:szCs w:val="32"/>
                <w:lang w:eastAsia="zh-CN"/>
              </w:rPr>
              <w:t>mg/L；</w:t>
            </w:r>
            <w:r>
              <w:rPr>
                <w:rFonts w:hint="eastAsia"/>
                <w:bCs/>
                <w:color w:val="auto"/>
                <w:sz w:val="24"/>
                <w:szCs w:val="32"/>
                <w:lang w:val="en-US" w:eastAsia="zh-CN"/>
              </w:rPr>
              <w:t>具体见下表。</w:t>
            </w:r>
          </w:p>
          <w:p>
            <w:pPr>
              <w:keepNext w:val="0"/>
              <w:keepLines w:val="0"/>
              <w:suppressLineNumbers w:val="0"/>
              <w:autoSpaceDE w:val="0"/>
              <w:autoSpaceDN w:val="0"/>
              <w:adjustRightInd w:val="0"/>
              <w:spacing w:before="0" w:beforeAutospacing="0" w:after="0" w:afterAutospacing="0" w:line="480" w:lineRule="exact"/>
              <w:ind w:left="0" w:right="0"/>
              <w:jc w:val="center"/>
              <w:rPr>
                <w:rFonts w:hint="default" w:ascii="黑体" w:hAnsi="黑体" w:eastAsia="黑体"/>
                <w:color w:val="auto"/>
                <w:sz w:val="24"/>
                <w:szCs w:val="32"/>
                <w:lang w:val="en-US"/>
              </w:rPr>
            </w:pPr>
            <w:r>
              <w:rPr>
                <w:rFonts w:hint="eastAsia" w:ascii="黑体" w:hAnsi="黑体" w:eastAsia="黑体"/>
                <w:color w:val="auto"/>
                <w:sz w:val="24"/>
                <w:szCs w:val="32"/>
              </w:rPr>
              <w:t>表4-1</w:t>
            </w:r>
            <w:r>
              <w:rPr>
                <w:rFonts w:hint="eastAsia" w:ascii="黑体" w:hAnsi="黑体" w:eastAsia="黑体"/>
                <w:color w:val="auto"/>
                <w:sz w:val="24"/>
                <w:szCs w:val="32"/>
                <w:lang w:val="en-US" w:eastAsia="zh-CN"/>
              </w:rPr>
              <w:t>6</w:t>
            </w:r>
            <w:r>
              <w:rPr>
                <w:rFonts w:hint="eastAsia" w:ascii="黑体" w:hAnsi="黑体" w:eastAsia="黑体"/>
                <w:color w:val="auto"/>
                <w:sz w:val="24"/>
                <w:szCs w:val="32"/>
              </w:rPr>
              <w:t xml:space="preserve">  </w:t>
            </w:r>
            <w:r>
              <w:rPr>
                <w:rFonts w:hint="eastAsia" w:ascii="黑体" w:hAnsi="黑体" w:eastAsia="黑体"/>
                <w:color w:val="auto"/>
                <w:sz w:val="24"/>
                <w:szCs w:val="32"/>
                <w:lang w:val="en-US" w:eastAsia="zh-CN"/>
              </w:rPr>
              <w:t>污水处理站进出水质一览表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711"/>
              <w:gridCol w:w="1711"/>
              <w:gridCol w:w="1711"/>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项目</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进水水质要求</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出水水质要求</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综合处理效率</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回用水质要求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pH</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6-9</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6-9</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COD</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&lt;350mg/L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&lt;50mg/L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85.7%</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BOD</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&lt;200mg/L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&lt;10mg/L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95%</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氨氮</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&lt;20mg/L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&lt;5mg/L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75%</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悬浮物</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&lt;250mg/L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&lt;20mg/L</w:t>
                  </w:r>
                </w:p>
              </w:tc>
              <w:tc>
                <w:tcPr>
                  <w:tcW w:w="17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92%</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
                <w:bCs/>
                <w:color w:val="auto"/>
                <w:sz w:val="24"/>
              </w:rPr>
            </w:pPr>
            <w:r>
              <w:rPr>
                <w:rFonts w:hint="eastAsia"/>
                <w:bCs/>
                <w:color w:val="auto"/>
                <w:sz w:val="24"/>
                <w:szCs w:val="32"/>
                <w:lang w:val="en-US" w:eastAsia="zh-CN"/>
              </w:rPr>
              <w:t>由以上分析可知，</w:t>
            </w:r>
            <w:r>
              <w:rPr>
                <w:rFonts w:hint="eastAsia"/>
                <w:bCs/>
                <w:color w:val="auto"/>
                <w:sz w:val="24"/>
                <w:szCs w:val="32"/>
              </w:rPr>
              <w:t>本项目产生的废水经</w:t>
            </w:r>
            <w:r>
              <w:rPr>
                <w:rFonts w:hint="eastAsia"/>
                <w:bCs/>
                <w:color w:val="auto"/>
                <w:sz w:val="24"/>
                <w:szCs w:val="32"/>
                <w:lang w:val="en-US" w:eastAsia="zh-CN"/>
              </w:rPr>
              <w:t>1套处理能力为20m</w:t>
            </w:r>
            <w:r>
              <w:rPr>
                <w:rFonts w:hint="eastAsia"/>
                <w:bCs/>
                <w:color w:val="auto"/>
                <w:sz w:val="24"/>
                <w:szCs w:val="32"/>
                <w:vertAlign w:val="superscript"/>
                <w:lang w:val="en-US" w:eastAsia="zh-CN"/>
              </w:rPr>
              <w:t>3</w:t>
            </w:r>
            <w:r>
              <w:rPr>
                <w:rFonts w:hint="eastAsia"/>
                <w:bCs/>
                <w:color w:val="auto"/>
                <w:sz w:val="24"/>
                <w:szCs w:val="32"/>
                <w:vertAlign w:val="baseline"/>
                <w:lang w:val="en-US" w:eastAsia="zh-CN"/>
              </w:rPr>
              <w:t>/d的</w:t>
            </w:r>
            <w:r>
              <w:rPr>
                <w:rFonts w:hint="eastAsia"/>
                <w:bCs/>
                <w:color w:val="auto"/>
                <w:sz w:val="24"/>
                <w:szCs w:val="32"/>
              </w:rPr>
              <w:t>地埋式一体化污水处理设施</w:t>
            </w:r>
            <w:r>
              <w:rPr>
                <w:rFonts w:hint="eastAsia"/>
                <w:bCs/>
                <w:color w:val="auto"/>
                <w:sz w:val="24"/>
                <w:szCs w:val="32"/>
                <w:lang w:eastAsia="zh-CN"/>
              </w:rPr>
              <w:t>（</w:t>
            </w:r>
            <w:r>
              <w:rPr>
                <w:rFonts w:hint="eastAsia"/>
                <w:bCs/>
                <w:color w:val="auto"/>
                <w:sz w:val="24"/>
                <w:szCs w:val="32"/>
                <w:lang w:val="en-US" w:eastAsia="zh-CN"/>
              </w:rPr>
              <w:t>包括深度处理</w:t>
            </w:r>
            <w:r>
              <w:rPr>
                <w:rFonts w:hint="eastAsia"/>
                <w:bCs/>
                <w:color w:val="auto"/>
                <w:sz w:val="24"/>
                <w:szCs w:val="32"/>
                <w:lang w:eastAsia="zh-CN"/>
              </w:rPr>
              <w:t>）</w:t>
            </w:r>
            <w:r>
              <w:rPr>
                <w:rFonts w:hint="eastAsia"/>
                <w:bCs/>
                <w:color w:val="auto"/>
                <w:sz w:val="24"/>
                <w:szCs w:val="32"/>
              </w:rPr>
              <w:t>处理达</w:t>
            </w:r>
            <w:r>
              <w:rPr>
                <w:rFonts w:hint="eastAsia"/>
                <w:bCs/>
                <w:color w:val="auto"/>
                <w:sz w:val="24"/>
                <w:szCs w:val="32"/>
                <w:lang w:val="en-US" w:eastAsia="zh-CN"/>
              </w:rPr>
              <w:t>到</w:t>
            </w:r>
            <w:r>
              <w:rPr>
                <w:rFonts w:hint="eastAsia"/>
                <w:bCs/>
                <w:color w:val="auto"/>
                <w:sz w:val="24"/>
                <w:szCs w:val="32"/>
              </w:rPr>
              <w:t>《城市污水再生利用 城市杂用水水质》（GB18920-2020）中城市绿化水质标准后在非采暖期回用于道路浇洒及绿化浇灌</w:t>
            </w:r>
            <w:r>
              <w:rPr>
                <w:rFonts w:hint="eastAsia"/>
                <w:bCs/>
                <w:color w:val="auto"/>
                <w:sz w:val="24"/>
                <w:szCs w:val="32"/>
                <w:lang w:val="en-US" w:eastAsia="zh-CN"/>
              </w:rPr>
              <w:t>的方案可行；</w:t>
            </w:r>
            <w:r>
              <w:rPr>
                <w:rFonts w:hint="eastAsia"/>
                <w:bCs/>
                <w:color w:val="auto"/>
                <w:sz w:val="24"/>
              </w:rPr>
              <w:t>本项目非采暖期绿化用水量为</w:t>
            </w:r>
            <w:r>
              <w:rPr>
                <w:rFonts w:hint="eastAsia"/>
                <w:bCs/>
                <w:color w:val="auto"/>
                <w:sz w:val="24"/>
                <w:lang w:val="en-US" w:eastAsia="zh-CN"/>
              </w:rPr>
              <w:t>12.14</w:t>
            </w:r>
            <w:r>
              <w:rPr>
                <w:rFonts w:hint="eastAsia"/>
                <w:bCs/>
                <w:color w:val="auto"/>
                <w:sz w:val="24"/>
              </w:rPr>
              <w:t>m</w:t>
            </w:r>
            <w:r>
              <w:rPr>
                <w:rFonts w:hint="eastAsia"/>
                <w:bCs/>
                <w:color w:val="auto"/>
                <w:sz w:val="24"/>
                <w:vertAlign w:val="superscript"/>
              </w:rPr>
              <w:t>3</w:t>
            </w:r>
            <w:r>
              <w:rPr>
                <w:rFonts w:hint="eastAsia"/>
                <w:bCs/>
                <w:color w:val="auto"/>
                <w:sz w:val="24"/>
              </w:rPr>
              <w:t>/d，经处理后的生活污水回用量为</w:t>
            </w:r>
            <w:r>
              <w:rPr>
                <w:rFonts w:hint="eastAsia"/>
                <w:bCs/>
                <w:color w:val="auto"/>
                <w:sz w:val="24"/>
                <w:lang w:val="en-US" w:eastAsia="zh-CN"/>
              </w:rPr>
              <w:t>11.57</w:t>
            </w:r>
            <w:r>
              <w:rPr>
                <w:rFonts w:hint="eastAsia"/>
                <w:bCs/>
                <w:color w:val="auto"/>
                <w:sz w:val="24"/>
              </w:rPr>
              <w:t xml:space="preserve"> m</w:t>
            </w:r>
            <w:r>
              <w:rPr>
                <w:rFonts w:hint="eastAsia"/>
                <w:bCs/>
                <w:color w:val="auto"/>
                <w:sz w:val="24"/>
                <w:vertAlign w:val="superscript"/>
              </w:rPr>
              <w:t>3</w:t>
            </w:r>
            <w:r>
              <w:rPr>
                <w:rFonts w:hint="eastAsia"/>
                <w:bCs/>
                <w:color w:val="auto"/>
                <w:sz w:val="24"/>
              </w:rPr>
              <w:t>/d，非采暖期经处理后的生活污水可全部回用于绿化用水</w:t>
            </w:r>
            <w:r>
              <w:rPr>
                <w:rFonts w:hint="eastAsia"/>
                <w:bCs/>
                <w:color w:val="auto"/>
                <w:sz w:val="24"/>
                <w:lang w:eastAsia="zh-CN"/>
              </w:rPr>
              <w:t>；</w:t>
            </w:r>
            <w:r>
              <w:rPr>
                <w:rFonts w:hint="eastAsia"/>
                <w:bCs/>
                <w:color w:val="auto"/>
                <w:sz w:val="24"/>
                <w:lang w:val="en-US" w:eastAsia="zh-CN"/>
              </w:rPr>
              <w:t>本项目非采暖期可全部消纳产生的污水。</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五台县污水处理厂依托性分析：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五台县污水处理厂位于县城区东南，初期建成于2003年，出水水质执行《城镇污水处理厂污染物排放标准》（GB18918-2002）中的一级B标准，工艺采用“粗格栅+细格栅+沉淀池+厌氧段+Orbal氧化沟+二沉池+消毒间”。为提高出水水质标准，2015年五台县污水处理厂进行提标改造，工艺采用“粗格栅+细格栅+沉砂池+复合A/A/O反应池+二沉池+混合反应+过滤+消毒+清水池”，设计出水水质达到《城镇污水处理厂污染物排放标准》（GB18918-2002）中的一级A标准，复合A/A/O反应池由原有工艺中的Orbal氧化沟改造而成。2015年4月15日，忻州市环境保护局以忻环评函[2015]20号文件核发《关于五台县污水处理厂提标改造工程环境影响报告表的批复》，污水处理规模仍为15000m</w:t>
            </w:r>
            <w:r>
              <w:rPr>
                <w:rFonts w:hint="eastAsia"/>
                <w:color w:val="auto"/>
                <w:sz w:val="24"/>
                <w:vertAlign w:val="superscript"/>
              </w:rPr>
              <w:t>3</w:t>
            </w:r>
            <w:r>
              <w:rPr>
                <w:rFonts w:hint="eastAsia"/>
                <w:color w:val="auto"/>
                <w:sz w:val="24"/>
              </w:rPr>
              <w:t>/d。2017年3月6日，忻州市环境保护局下发了竣工验收批复。</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由于污水处理厂进水水质波动较大，不能稳定满足设计时的进水指标，且山西省环境治理目标要求现有城镇污水处理厂全部按照化学需氧量、氨氮、总磷三项主要污染物排放指标稳定达地表水Ⅳ类标准的要求，其余指标达到《城镇污水处理厂污染物排放标准》（GB18918-2002）中的一级A标准。五台县污水处理厂实施了扩容提标工程，建成运营后污水处理能力提高到25000m</w:t>
            </w:r>
            <w:r>
              <w:rPr>
                <w:rFonts w:hint="eastAsia"/>
                <w:color w:val="auto"/>
                <w:sz w:val="24"/>
                <w:vertAlign w:val="superscript"/>
              </w:rPr>
              <w:t>3</w:t>
            </w:r>
            <w:r>
              <w:rPr>
                <w:rFonts w:hint="eastAsia"/>
                <w:color w:val="auto"/>
                <w:sz w:val="24"/>
              </w:rPr>
              <w:t>/d，</w:t>
            </w:r>
            <w:r>
              <w:rPr>
                <w:rFonts w:hint="eastAsia"/>
                <w:color w:val="auto"/>
                <w:sz w:val="24"/>
                <w:lang w:val="en-US" w:eastAsia="zh-CN"/>
              </w:rPr>
              <w:t>采用“预处理+二级处理+三级处理”，一级处理也叫预处理，是通过过沉淀、浮选、过滤等物理方法去除污水中的悬浮状固体物质，得到初步净化，为二级处理提供适宜的水质条件；二级处理是在一级处理的基础上，利用改良A/A/O池的生物化学作用，利用微生物分解污水中的有机物，从而净化污水；三级处理是在二级处理流程之后再增加处理设施来取得良好的水质。五台县污水处理厂出水</w:t>
            </w:r>
            <w:r>
              <w:rPr>
                <w:rFonts w:hint="eastAsia" w:ascii="Times New Roman" w:hAnsi="Times New Roman"/>
                <w:color w:val="auto"/>
                <w:sz w:val="24"/>
              </w:rPr>
              <w:t>执行《城镇污水处理厂污染物排放标准》（GB18918-2002）中一级A标准要求，其中COD、TP和NH</w:t>
            </w:r>
            <w:r>
              <w:rPr>
                <w:rFonts w:hint="eastAsia" w:ascii="Times New Roman" w:hAnsi="Times New Roman"/>
                <w:color w:val="auto"/>
                <w:sz w:val="24"/>
                <w:vertAlign w:val="subscript"/>
              </w:rPr>
              <w:t>3</w:t>
            </w:r>
            <w:r>
              <w:rPr>
                <w:rFonts w:hint="eastAsia" w:ascii="Times New Roman" w:hAnsi="Times New Roman"/>
                <w:color w:val="auto"/>
                <w:sz w:val="24"/>
              </w:rPr>
              <w:t>-N三项指标稳定达到《地表水环境质量标准》（GB3838- 2002）的</w:t>
            </w:r>
            <w:r>
              <w:rPr>
                <w:rFonts w:hint="eastAsia" w:ascii="宋体" w:hAnsi="宋体" w:cs="宋体"/>
                <w:color w:val="auto"/>
                <w:sz w:val="24"/>
              </w:rPr>
              <w:t>Ⅳ</w:t>
            </w:r>
            <w:r>
              <w:rPr>
                <w:rFonts w:hint="eastAsia" w:ascii="Times New Roman" w:hAnsi="Times New Roman"/>
                <w:color w:val="auto"/>
                <w:sz w:val="24"/>
              </w:rPr>
              <w:t>类水体标准</w:t>
            </w:r>
            <w:r>
              <w:rPr>
                <w:rFonts w:hint="eastAsia"/>
                <w:color w:val="auto"/>
                <w:sz w:val="24"/>
                <w:lang w:eastAsia="zh-CN"/>
              </w:rPr>
              <w:t>；</w:t>
            </w:r>
            <w:r>
              <w:rPr>
                <w:rFonts w:hint="eastAsia"/>
                <w:color w:val="auto"/>
                <w:sz w:val="24"/>
              </w:rPr>
              <w:t>该项目《环境影响报告表》于2020年3月11日由五台县行政审批服务管理局以五审管环函[2020]4号文予以批复，目前五台县污水处理厂扩容提标工程正在进行中。</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五台县污水处理厂设计进水水质为：</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表4-1</w:t>
            </w:r>
            <w:r>
              <w:rPr>
                <w:rFonts w:hint="eastAsia" w:ascii="黑体" w:hAnsi="黑体" w:eastAsia="黑体"/>
                <w:bCs/>
                <w:color w:val="auto"/>
                <w:sz w:val="24"/>
                <w:lang w:val="en-US" w:eastAsia="zh-CN"/>
              </w:rPr>
              <w:t>7</w:t>
            </w:r>
            <w:r>
              <w:rPr>
                <w:rFonts w:hint="eastAsia" w:ascii="黑体" w:hAnsi="黑体" w:eastAsia="黑体"/>
                <w:bCs/>
                <w:color w:val="auto"/>
                <w:sz w:val="24"/>
              </w:rPr>
              <w:t xml:space="preserve">  五台县污水处理厂设计进水水质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项目</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CODcr</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BOD</w:t>
                  </w:r>
                  <w:r>
                    <w:rPr>
                      <w:rFonts w:hint="eastAsia"/>
                      <w:color w:val="auto"/>
                      <w:vertAlign w:val="subscript"/>
                    </w:rPr>
                    <w:t>5</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NH</w:t>
                  </w:r>
                  <w:r>
                    <w:rPr>
                      <w:rFonts w:hint="eastAsia"/>
                      <w:color w:val="auto"/>
                      <w:vertAlign w:val="subscript"/>
                    </w:rPr>
                    <w:t>3</w:t>
                  </w:r>
                  <w:r>
                    <w:rPr>
                      <w:rFonts w:hint="eastAsia"/>
                      <w:color w:val="auto"/>
                    </w:rPr>
                    <w:t>-N</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TN</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预处理段</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847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282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42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87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生化段</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260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80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25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40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3.8 mg/L</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本项目产生的遗体处置清洗、消毒废水，专用殡仪车辆清洗、消毒废水</w:t>
            </w:r>
            <w:r>
              <w:rPr>
                <w:rFonts w:hint="eastAsia"/>
                <w:bCs/>
                <w:color w:val="auto"/>
                <w:sz w:val="24"/>
                <w:lang w:val="en-US" w:eastAsia="zh-CN"/>
              </w:rPr>
              <w:t>以及地坪清洗废水中的直接冲洗废水</w:t>
            </w:r>
            <w:r>
              <w:rPr>
                <w:rFonts w:hint="eastAsia"/>
                <w:bCs/>
                <w:color w:val="auto"/>
                <w:sz w:val="24"/>
                <w:lang w:eastAsia="zh-CN"/>
              </w:rPr>
              <w:t>，</w:t>
            </w:r>
            <w:r>
              <w:rPr>
                <w:rFonts w:hint="eastAsia"/>
                <w:bCs/>
                <w:color w:val="auto"/>
                <w:sz w:val="24"/>
              </w:rPr>
              <w:t>经消毒池预处理后</w:t>
            </w:r>
            <w:r>
              <w:rPr>
                <w:rFonts w:hint="eastAsia"/>
                <w:bCs/>
                <w:color w:val="auto"/>
                <w:sz w:val="24"/>
                <w:lang w:eastAsia="zh-CN"/>
              </w:rPr>
              <w:t>，</w:t>
            </w:r>
            <w:r>
              <w:rPr>
                <w:rFonts w:hint="eastAsia"/>
                <w:bCs/>
                <w:color w:val="auto"/>
                <w:sz w:val="24"/>
              </w:rPr>
              <w:t>与其他生活污水一同进入自建污水处理站处理；废水经污水处理站处理后非采暖期（5月至10月）可用于绿化</w:t>
            </w:r>
            <w:r>
              <w:rPr>
                <w:rFonts w:hint="eastAsia"/>
                <w:bCs/>
                <w:color w:val="auto"/>
                <w:sz w:val="24"/>
                <w:lang w:val="en-US" w:eastAsia="zh-CN"/>
              </w:rPr>
              <w:t>用水</w:t>
            </w:r>
            <w:r>
              <w:rPr>
                <w:rFonts w:hint="eastAsia"/>
                <w:bCs/>
                <w:color w:val="auto"/>
                <w:sz w:val="24"/>
              </w:rPr>
              <w:t>，不外排；采暖期（11月-4月）定期统一由罐车抽送至五台县生活污水处理厂处理。</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lang w:val="en-US" w:eastAsia="zh-CN"/>
              </w:rPr>
              <w:t>五台县污水处理厂污水主要来源县城及周边村庄生活污水；</w:t>
            </w:r>
            <w:r>
              <w:rPr>
                <w:rFonts w:hint="eastAsia" w:cs="Times New Roman"/>
                <w:color w:val="auto"/>
                <w:kern w:val="0"/>
                <w:sz w:val="24"/>
                <w:szCs w:val="24"/>
                <w:lang w:val="en-US" w:eastAsia="zh-CN"/>
              </w:rPr>
              <w:t>本项目拟建场址位于五台县中心城区边界、建成区边界南侧约5.3km处</w:t>
            </w:r>
            <w:r>
              <w:rPr>
                <w:rFonts w:hint="eastAsia"/>
                <w:color w:val="auto"/>
                <w:sz w:val="24"/>
                <w:szCs w:val="20"/>
              </w:rPr>
              <w:t>，不在五台县城市规划范围内</w:t>
            </w:r>
            <w:r>
              <w:rPr>
                <w:rFonts w:hint="eastAsia" w:cs="Times New Roman"/>
                <w:color w:val="auto"/>
                <w:kern w:val="0"/>
                <w:sz w:val="24"/>
                <w:szCs w:val="24"/>
                <w:lang w:val="en-US" w:eastAsia="zh-CN"/>
              </w:rPr>
              <w:t>；本项目拟建厂址周边无城市污水管网；因此，本项目采暖期生活污水只能由罐车抽送至城市污水处理厂处理；</w:t>
            </w:r>
            <w:r>
              <w:rPr>
                <w:rFonts w:hint="eastAsia"/>
                <w:bCs/>
                <w:color w:val="auto"/>
                <w:sz w:val="24"/>
              </w:rPr>
              <w:t>本项目委托污水处理厂罐车进行污水抽送，不自备污水罐车</w:t>
            </w:r>
            <w:r>
              <w:rPr>
                <w:rFonts w:hint="eastAsia"/>
                <w:bCs/>
                <w:color w:val="auto"/>
                <w:sz w:val="24"/>
                <w:lang w:eastAsia="zh-CN"/>
              </w:rPr>
              <w:t>，</w:t>
            </w:r>
            <w:r>
              <w:rPr>
                <w:rFonts w:hint="eastAsia"/>
                <w:bCs/>
                <w:color w:val="auto"/>
                <w:sz w:val="24"/>
                <w:lang w:val="en-US" w:eastAsia="zh-CN"/>
              </w:rPr>
              <w:t>便于运营期管理，委托</w:t>
            </w:r>
            <w:r>
              <w:rPr>
                <w:rFonts w:hint="eastAsia"/>
                <w:bCs/>
                <w:color w:val="auto"/>
                <w:sz w:val="24"/>
              </w:rPr>
              <w:t>污水处理厂罐车进行污水抽送</w:t>
            </w:r>
            <w:r>
              <w:rPr>
                <w:rFonts w:hint="eastAsia"/>
                <w:bCs/>
                <w:color w:val="auto"/>
                <w:sz w:val="24"/>
                <w:lang w:val="en-US" w:eastAsia="zh-CN"/>
              </w:rPr>
              <w:t>的方案可行。</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bCs/>
                <w:color w:val="auto"/>
                <w:sz w:val="24"/>
              </w:rPr>
              <w:t>本项目污水处理站出水水质远小于五台县污水处理厂设计进水水质</w:t>
            </w:r>
            <w:r>
              <w:rPr>
                <w:rFonts w:hint="eastAsia"/>
                <w:bCs/>
                <w:color w:val="auto"/>
                <w:sz w:val="24"/>
                <w:lang w:eastAsia="zh-CN"/>
              </w:rPr>
              <w:t>，</w:t>
            </w:r>
            <w:r>
              <w:rPr>
                <w:rFonts w:hint="eastAsia"/>
                <w:bCs/>
                <w:color w:val="auto"/>
                <w:sz w:val="24"/>
                <w:lang w:val="en-US" w:eastAsia="zh-CN"/>
              </w:rPr>
              <w:t>且排水量较小，不会对</w:t>
            </w:r>
            <w:r>
              <w:rPr>
                <w:rFonts w:hint="eastAsia"/>
                <w:bCs/>
                <w:color w:val="auto"/>
                <w:sz w:val="24"/>
              </w:rPr>
              <w:t>五台县</w:t>
            </w:r>
            <w:r>
              <w:rPr>
                <w:rFonts w:hint="eastAsia"/>
                <w:bCs/>
                <w:color w:val="auto"/>
                <w:sz w:val="24"/>
                <w:lang w:val="en-US" w:eastAsia="zh-CN"/>
              </w:rPr>
              <w:t>污水处理厂水质、水量造成冲击</w:t>
            </w:r>
            <w:r>
              <w:rPr>
                <w:rFonts w:hint="eastAsia"/>
                <w:bCs/>
                <w:color w:val="auto"/>
                <w:sz w:val="24"/>
              </w:rPr>
              <w:t>；本项目拟建厂址与五台县污水处理厂相距约</w:t>
            </w:r>
            <w:r>
              <w:rPr>
                <w:rFonts w:hint="eastAsia"/>
                <w:bCs/>
                <w:color w:val="auto"/>
                <w:sz w:val="24"/>
                <w:lang w:val="en-US" w:eastAsia="zh-CN"/>
              </w:rPr>
              <w:t>6.1</w:t>
            </w:r>
            <w:r>
              <w:rPr>
                <w:rFonts w:hint="eastAsia"/>
                <w:bCs/>
                <w:color w:val="auto"/>
                <w:sz w:val="24"/>
              </w:rPr>
              <w:t>km，经</w:t>
            </w:r>
            <w:r>
              <w:rPr>
                <w:rFonts w:hint="eastAsia"/>
                <w:bCs/>
                <w:color w:val="auto"/>
                <w:sz w:val="24"/>
                <w:lang w:val="en-US" w:eastAsia="zh-CN"/>
              </w:rPr>
              <w:t>乡道与南外环路</w:t>
            </w:r>
            <w:r>
              <w:rPr>
                <w:rFonts w:hint="eastAsia"/>
                <w:bCs/>
                <w:color w:val="auto"/>
                <w:sz w:val="24"/>
              </w:rPr>
              <w:t>相连，交通方便</w:t>
            </w:r>
            <w:r>
              <w:rPr>
                <w:rFonts w:hint="eastAsia"/>
                <w:bCs/>
                <w:color w:val="auto"/>
                <w:sz w:val="24"/>
                <w:lang w:eastAsia="zh-CN"/>
              </w:rPr>
              <w:t>；</w:t>
            </w:r>
            <w:r>
              <w:rPr>
                <w:rFonts w:hint="eastAsia"/>
                <w:bCs/>
                <w:color w:val="auto"/>
                <w:sz w:val="24"/>
                <w:lang w:val="en-US" w:eastAsia="zh-CN"/>
              </w:rPr>
              <w:t>目前</w:t>
            </w:r>
            <w:r>
              <w:rPr>
                <w:rFonts w:hint="eastAsia"/>
                <w:color w:val="auto"/>
                <w:sz w:val="24"/>
              </w:rPr>
              <w:t>五台县污水处理厂扩容提标工程正在进行中</w:t>
            </w:r>
            <w:r>
              <w:rPr>
                <w:rFonts w:hint="eastAsia"/>
                <w:color w:val="auto"/>
                <w:sz w:val="24"/>
                <w:lang w:eastAsia="zh-CN"/>
              </w:rPr>
              <w:t>，</w:t>
            </w:r>
            <w:r>
              <w:rPr>
                <w:rFonts w:hint="eastAsia"/>
                <w:color w:val="auto"/>
                <w:sz w:val="24"/>
                <w:lang w:val="en-US" w:eastAsia="zh-CN"/>
              </w:rPr>
              <w:t>仍可接收五台县生活污水，本项目产生的污水可在采暖期送往五台县污水处理站；</w:t>
            </w:r>
            <w:r>
              <w:rPr>
                <w:rFonts w:hint="eastAsia"/>
                <w:bCs/>
                <w:color w:val="auto"/>
                <w:sz w:val="24"/>
              </w:rPr>
              <w:t>综上所述，本项目采暖期（11月-4月）产生的废水定期统一由罐车抽送至五台县生活污水处理厂处理的方案可行。</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废水监测计划：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根据《排污单位自行监测技术指南 总则》（HJ 819-2017），</w:t>
            </w:r>
            <w:r>
              <w:rPr>
                <w:rFonts w:hint="eastAsia"/>
                <w:bCs/>
                <w:color w:val="auto"/>
                <w:sz w:val="24"/>
              </w:rPr>
              <w:t>本项目废水监测内容见下表。</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表4-1</w:t>
            </w:r>
            <w:r>
              <w:rPr>
                <w:rFonts w:hint="eastAsia" w:ascii="黑体" w:hAnsi="黑体" w:eastAsia="黑体"/>
                <w:bCs/>
                <w:color w:val="auto"/>
                <w:sz w:val="24"/>
                <w:lang w:val="en-US" w:eastAsia="zh-CN"/>
              </w:rPr>
              <w:t>8</w:t>
            </w:r>
            <w:r>
              <w:rPr>
                <w:rFonts w:hint="eastAsia" w:ascii="黑体" w:hAnsi="黑体" w:eastAsia="黑体"/>
                <w:bCs/>
                <w:color w:val="auto"/>
                <w:sz w:val="24"/>
              </w:rPr>
              <w:t xml:space="preserve">  废水监测方案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3239"/>
              <w:gridCol w:w="1231"/>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1895"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1527"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bCs/>
                      <w:color w:val="auto"/>
                      <w:szCs w:val="21"/>
                    </w:rPr>
                    <w:t>地埋式一体化污水处理站出口</w:t>
                  </w:r>
                </w:p>
              </w:tc>
              <w:tc>
                <w:tcPr>
                  <w:tcW w:w="1895"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pH、色度、嗅、浊度、溶解性总固体、生化需氧量（BOD</w:t>
                  </w:r>
                  <w:r>
                    <w:rPr>
                      <w:rFonts w:hint="eastAsia" w:ascii="Times New Roman" w:hAnsi="Times New Roman" w:eastAsia="宋体"/>
                      <w:color w:val="auto"/>
                      <w:sz w:val="21"/>
                      <w:szCs w:val="21"/>
                      <w:vertAlign w:val="subscript"/>
                    </w:rPr>
                    <w:t>5</w:t>
                  </w:r>
                  <w:r>
                    <w:rPr>
                      <w:rFonts w:hint="eastAsia" w:ascii="Times New Roman" w:hAnsi="Times New Roman" w:eastAsia="宋体"/>
                      <w:color w:val="auto"/>
                      <w:sz w:val="21"/>
                      <w:szCs w:val="21"/>
                    </w:rPr>
                    <w:t>）、氨氮、阴离子表面活性剂、溶解氧、总余氯、总大肠菌群</w:t>
                  </w:r>
                </w:p>
              </w:tc>
              <w:tc>
                <w:tcPr>
                  <w:tcW w:w="720"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1次/年</w:t>
                  </w:r>
                </w:p>
              </w:tc>
              <w:tc>
                <w:tcPr>
                  <w:tcW w:w="1527" w:type="pct"/>
                  <w:vAlign w:val="center"/>
                </w:tcPr>
                <w:p>
                  <w:pPr>
                    <w:pStyle w:val="61"/>
                    <w:keepNext w:val="0"/>
                    <w:keepLines w:val="0"/>
                    <w:widowControl/>
                    <w:suppressLineNumbers w:val="0"/>
                    <w:snapToGrid/>
                    <w:spacing w:before="0" w:beforeAutospacing="0" w:after="0" w:afterAutospacing="0" w:line="240" w:lineRule="auto"/>
                    <w:ind w:left="0" w:right="0" w:firstLine="0"/>
                    <w:jc w:val="center"/>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《城市污水再生利用 城市杂用水水质》（GB18920-2020）中城市绿化水质标准</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4、运营期</w:t>
            </w:r>
            <w:r>
              <w:rPr>
                <w:rFonts w:hint="eastAsia"/>
                <w:b/>
                <w:color w:val="auto"/>
                <w:sz w:val="24"/>
              </w:rPr>
              <w:t>固体废物源强及污染防治措施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项目产污环节分析，项目固废主要包括遗体火化产生的骨灰，少量遗留的灰渣（包括部分遗体中无法被焚毁的钢板、骨钉等金属植入物），遗物祭品焚烧灰渣，污水处理设施污泥，火化炉、焚烧炉配套烟气处理设施收集的焚烧飞灰、废脱硫粉、废活性炭，以及生活垃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rPr>
              <w:t>1</w:t>
            </w:r>
            <w:r>
              <w:rPr>
                <w:rFonts w:hint="eastAsia" w:hAnsi="宋体"/>
                <w:b/>
                <w:color w:val="auto"/>
                <w:sz w:val="24"/>
                <w:szCs w:val="32"/>
              </w:rPr>
              <w:t>：</w:t>
            </w:r>
            <w:r>
              <w:rPr>
                <w:rFonts w:hint="eastAsia"/>
                <w:b/>
                <w:bCs/>
                <w:color w:val="auto"/>
                <w:sz w:val="24"/>
              </w:rPr>
              <w:t>遗体火化产生的骨灰</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通过查阅相关资料，成人骨灰重量介于0.9~3.6kg之间，平均重量约为2.4kg，本项目单具遗体火化骨灰产生量以2.4kg计，年产生量约5.256t。骨灰在进行挑捡后由各逝者家属装进骨灰盒带走，葬入墓地或寄存于骨灰寄存楼。</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rPr>
              <w:t>2</w:t>
            </w:r>
            <w:r>
              <w:rPr>
                <w:rFonts w:hint="eastAsia" w:hAnsi="宋体"/>
                <w:b/>
                <w:color w:val="auto"/>
                <w:sz w:val="24"/>
                <w:szCs w:val="32"/>
              </w:rPr>
              <w:t>：</w:t>
            </w:r>
            <w:r>
              <w:rPr>
                <w:rFonts w:hint="eastAsia"/>
                <w:b/>
                <w:bCs/>
                <w:color w:val="auto"/>
                <w:sz w:val="24"/>
              </w:rPr>
              <w:t>火化炉遗留的灰渣</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遗体火化捡灰后仍有部分灰渣残留，包括部分遗体中存在无法被焚毁的医疗钢板、骨钉等金属植入物，为防止混灰，每完成一具遗体的火化作业后将对火化炉进行仔细清理，类比同类项目，该部分灰渣的产生量平均约0.1kg/具，则本项目火化炉遗留灰渣产生量约0.219t/a。火化炉遗留的灰渣收集后与生活垃圾一起运至市政指定的地点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rPr>
              <w:t>3</w:t>
            </w:r>
            <w:r>
              <w:rPr>
                <w:rFonts w:hint="eastAsia" w:hAnsi="宋体"/>
                <w:b/>
                <w:color w:val="auto"/>
                <w:sz w:val="24"/>
                <w:szCs w:val="32"/>
              </w:rPr>
              <w:t>：</w:t>
            </w:r>
            <w:r>
              <w:rPr>
                <w:rFonts w:hint="eastAsia"/>
                <w:b/>
                <w:bCs/>
                <w:color w:val="auto"/>
                <w:sz w:val="24"/>
              </w:rPr>
              <w:t>遗物祭品焚烧灰渣</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调查，平均每具遗体会焚烧遗物和花圈、纸钱等祭祀品按20kg计，则每年燃烧祭祀品量为43.8t/a，焚烧过程中减容率以78%计算，则产生灰渣量为9.636t/a，遗物祭品焚烧灰渣收集后与生活垃圾一起运至市政指定的地点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rPr>
              <w:t>4</w:t>
            </w:r>
            <w:r>
              <w:rPr>
                <w:rFonts w:hint="eastAsia" w:hAnsi="宋体"/>
                <w:b/>
                <w:color w:val="auto"/>
                <w:sz w:val="24"/>
                <w:szCs w:val="32"/>
              </w:rPr>
              <w:t>：</w:t>
            </w:r>
            <w:r>
              <w:rPr>
                <w:rFonts w:hint="eastAsia"/>
                <w:b/>
                <w:bCs/>
                <w:color w:val="auto"/>
                <w:sz w:val="24"/>
              </w:rPr>
              <w:t>污水处理设施污泥</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污水处理站拟采配备一体化污水处理设备，主要工艺为生物接触氧化，年处理污水量</w:t>
            </w:r>
            <w:r>
              <w:rPr>
                <w:rFonts w:hint="eastAsia"/>
                <w:bCs/>
                <w:color w:val="auto"/>
                <w:sz w:val="24"/>
                <w:lang w:val="en-US" w:eastAsia="zh-CN"/>
              </w:rPr>
              <w:t>约</w:t>
            </w:r>
            <w:r>
              <w:rPr>
                <w:rFonts w:hint="eastAsia"/>
                <w:bCs/>
                <w:color w:val="auto"/>
                <w:sz w:val="24"/>
              </w:rPr>
              <w:t>为</w:t>
            </w:r>
            <w:r>
              <w:rPr>
                <w:rFonts w:hint="eastAsia"/>
                <w:bCs/>
                <w:color w:val="auto"/>
                <w:sz w:val="24"/>
                <w:lang w:val="en-US" w:eastAsia="zh-CN"/>
              </w:rPr>
              <w:t>4223</w:t>
            </w:r>
            <w:r>
              <w:rPr>
                <w:rFonts w:hint="eastAsia"/>
                <w:bCs/>
                <w:color w:val="auto"/>
                <w:sz w:val="24"/>
              </w:rPr>
              <w:t>m</w:t>
            </w:r>
            <w:r>
              <w:rPr>
                <w:rFonts w:hint="eastAsia"/>
                <w:bCs/>
                <w:color w:val="auto"/>
                <w:sz w:val="24"/>
                <w:vertAlign w:val="superscript"/>
              </w:rPr>
              <w:t>3</w:t>
            </w:r>
            <w:r>
              <w:rPr>
                <w:rFonts w:hint="eastAsia"/>
                <w:bCs/>
                <w:color w:val="auto"/>
                <w:sz w:val="24"/>
              </w:rPr>
              <w:t>，参考二级污水处理厂一般情况下污泥产生量为处理每万立方米污水产生5-10t脱水污泥（80%含水率），本项目取8t，则污水处理站污泥产生量约为</w:t>
            </w:r>
            <w:r>
              <w:rPr>
                <w:rFonts w:hint="eastAsia"/>
                <w:bCs/>
                <w:color w:val="auto"/>
                <w:sz w:val="24"/>
                <w:lang w:val="en-US" w:eastAsia="zh-CN"/>
              </w:rPr>
              <w:t>3.38</w:t>
            </w:r>
            <w:r>
              <w:rPr>
                <w:rFonts w:hint="eastAsia"/>
                <w:bCs/>
                <w:color w:val="auto"/>
                <w:sz w:val="24"/>
              </w:rPr>
              <w:t>t/a。污水处理设施污泥采用消石灰干化后（60%含水率）与生活垃圾一起运至市政指定的地点处理。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lang w:val="en-US" w:eastAsia="zh-CN"/>
              </w:rPr>
              <w:t>5</w:t>
            </w:r>
            <w:r>
              <w:rPr>
                <w:rFonts w:hint="eastAsia" w:hAnsi="宋体"/>
                <w:b/>
                <w:color w:val="auto"/>
                <w:sz w:val="24"/>
                <w:szCs w:val="32"/>
              </w:rPr>
              <w:t>：</w:t>
            </w:r>
            <w:r>
              <w:rPr>
                <w:rFonts w:hint="eastAsia"/>
                <w:b/>
                <w:bCs/>
                <w:color w:val="auto"/>
                <w:sz w:val="24"/>
              </w:rPr>
              <w:t>生活垃圾</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生活垃圾主要来自员工和丧祭人员的生活垃圾，</w:t>
            </w:r>
            <w:r>
              <w:rPr>
                <w:rFonts w:hint="eastAsia"/>
                <w:color w:val="auto"/>
                <w:sz w:val="24"/>
              </w:rPr>
              <w:t>环评时项目运营期暂拟按工作人员</w:t>
            </w:r>
            <w:r>
              <w:rPr>
                <w:rFonts w:hint="eastAsia"/>
                <w:color w:val="auto"/>
                <w:sz w:val="24"/>
                <w:lang w:val="en-US" w:eastAsia="zh-CN"/>
              </w:rPr>
              <w:t>3</w:t>
            </w:r>
            <w:r>
              <w:rPr>
                <w:rFonts w:hint="eastAsia"/>
                <w:color w:val="auto"/>
                <w:sz w:val="24"/>
              </w:rPr>
              <w:t>0人计算产排污量；</w:t>
            </w:r>
            <w:r>
              <w:rPr>
                <w:rFonts w:hint="eastAsia"/>
                <w:bCs/>
                <w:color w:val="auto"/>
                <w:sz w:val="24"/>
              </w:rPr>
              <w:t>生活垃圾0.5kg/人·天计算，则员工的生活垃圾产生量为</w:t>
            </w:r>
            <w:r>
              <w:rPr>
                <w:rFonts w:hint="eastAsia"/>
                <w:bCs/>
                <w:color w:val="auto"/>
                <w:sz w:val="24"/>
                <w:lang w:val="en-US" w:eastAsia="zh-CN"/>
              </w:rPr>
              <w:t>5.48</w:t>
            </w:r>
            <w:r>
              <w:rPr>
                <w:rFonts w:hint="eastAsia"/>
                <w:bCs/>
                <w:color w:val="auto"/>
                <w:sz w:val="24"/>
              </w:rPr>
              <w:t>t/a；每天悼念、来访人员人数约为300人，生活垃圾按0.1kg/人·天计算，则悼念人员的生活垃圾为10.95t/a。收集后委托</w:t>
            </w:r>
            <w:r>
              <w:rPr>
                <w:rFonts w:hint="eastAsia"/>
                <w:bCs/>
                <w:color w:val="auto"/>
                <w:sz w:val="24"/>
                <w:lang w:val="en-US" w:eastAsia="zh-CN"/>
              </w:rPr>
              <w:t>城市</w:t>
            </w:r>
            <w:r>
              <w:rPr>
                <w:rFonts w:hint="eastAsia"/>
                <w:bCs/>
                <w:color w:val="auto"/>
                <w:sz w:val="24"/>
              </w:rPr>
              <w:t>环卫部门统一清运、处理。</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上述固体废物（火化炉遗留的灰渣、遗物祭品焚烧灰渣、污水处理设施污泥）均为类生活类生活垃圾，与生活垃圾一起运至市政指定的地点处理，最终进入五台县生活垃圾填埋场填埋处理。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hAnsi="宋体"/>
                <w:b/>
                <w:color w:val="auto"/>
                <w:sz w:val="24"/>
                <w:szCs w:val="32"/>
              </w:rPr>
              <w:t>S</w:t>
            </w:r>
            <w:r>
              <w:rPr>
                <w:rFonts w:hint="eastAsia" w:hAnsi="宋体"/>
                <w:b/>
                <w:color w:val="auto"/>
                <w:sz w:val="24"/>
                <w:szCs w:val="32"/>
                <w:vertAlign w:val="subscript"/>
                <w:lang w:val="en-US" w:eastAsia="zh-CN"/>
              </w:rPr>
              <w:t>6</w:t>
            </w:r>
            <w:r>
              <w:rPr>
                <w:rFonts w:hint="eastAsia" w:hAnsi="宋体"/>
                <w:b/>
                <w:color w:val="auto"/>
                <w:sz w:val="24"/>
                <w:szCs w:val="32"/>
              </w:rPr>
              <w:t>：污水处理隔油池油渣</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污水处理站隔油池油渣主要为职工食堂产生的废油，产生量按3g/人·d计，则油渣产生量为0.361t/a，隔油池油渣收集后委托相关餐饮废物回收单位回收处理。</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hAnsi="宋体"/>
                <w:b/>
                <w:bCs/>
                <w:color w:val="auto"/>
                <w:sz w:val="24"/>
                <w:szCs w:val="32"/>
              </w:rPr>
            </w:pPr>
            <w:r>
              <w:rPr>
                <w:rFonts w:hint="eastAsia" w:hAnsi="宋体"/>
                <w:b/>
                <w:color w:val="auto"/>
                <w:sz w:val="24"/>
                <w:szCs w:val="32"/>
              </w:rPr>
              <w:t>S</w:t>
            </w:r>
            <w:r>
              <w:rPr>
                <w:rFonts w:hint="eastAsia" w:hAnsi="宋体"/>
                <w:b/>
                <w:color w:val="auto"/>
                <w:sz w:val="24"/>
                <w:szCs w:val="32"/>
                <w:vertAlign w:val="subscript"/>
                <w:lang w:val="en-US" w:eastAsia="zh-CN"/>
              </w:rPr>
              <w:t>7</w:t>
            </w:r>
            <w:r>
              <w:rPr>
                <w:rFonts w:hint="eastAsia" w:hAnsi="宋体"/>
                <w:b/>
                <w:color w:val="auto"/>
                <w:sz w:val="24"/>
                <w:szCs w:val="32"/>
              </w:rPr>
              <w:t>：</w:t>
            </w:r>
            <w:r>
              <w:rPr>
                <w:rFonts w:hint="eastAsia"/>
                <w:b/>
                <w:bCs/>
                <w:color w:val="auto"/>
                <w:sz w:val="24"/>
              </w:rPr>
              <w:t>火化炉、焚烧炉配套烟气处理设施收集的焚烧飞灰、废脱硫粉、废活性炭</w:t>
            </w:r>
            <w:r>
              <w:rPr>
                <w:rFonts w:hint="eastAsia" w:hAnsi="宋体"/>
                <w:b/>
                <w:bCs/>
                <w:color w:val="auto"/>
                <w:sz w:val="24"/>
                <w:szCs w:val="32"/>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焚烧飞灰：</w:t>
            </w:r>
            <w:r>
              <w:rPr>
                <w:rFonts w:hint="eastAsia"/>
                <w:bCs/>
                <w:color w:val="auto"/>
                <w:sz w:val="24"/>
              </w:rPr>
              <w:t>遗物焚烧和遗体焚烧产生的飞灰基本上被布袋除尘器截留，飞灰产生量约为焚烧物量的3%，本年项目每年焚烧遗物约43.8t/a、遗体2190具/年（按60kg/具计），则飞灰产生量为5.256t/a。危险废物类别HW18，废物代码772-002-18。</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废脱硫粉：</w:t>
            </w:r>
            <w:r>
              <w:rPr>
                <w:rFonts w:hint="eastAsia"/>
                <w:color w:val="auto"/>
                <w:sz w:val="24"/>
              </w:rPr>
              <w:t>干法脱硫工艺中使用石灰粉采用喷射形式在布袋除尘器前端喷入，石灰粉全部由后续废气处理设备截留而产生废脱硫粉。根据工艺，焚烧一具遗体需喷入石灰粉800g，按照年火化2190具遗体计算，则本项目废脱硫粉年产生量为1.752t/a。危险废物类别HW18，废物代码772-005-18。</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废活性炭：</w:t>
            </w:r>
            <w:r>
              <w:rPr>
                <w:rFonts w:hint="eastAsia"/>
                <w:color w:val="auto"/>
                <w:sz w:val="24"/>
              </w:rPr>
              <w:t>火化烟气和遗物祭品焚烧烟气处理设施都设有活性炭喷射装置</w:t>
            </w:r>
            <w:r>
              <w:rPr>
                <w:rFonts w:hint="eastAsia"/>
                <w:color w:val="auto"/>
                <w:sz w:val="24"/>
                <w:lang w:val="en-US" w:eastAsia="zh-CN"/>
              </w:rPr>
              <w:t>及活性炭吸附箱</w:t>
            </w:r>
            <w:r>
              <w:rPr>
                <w:rFonts w:hint="eastAsia"/>
                <w:color w:val="auto"/>
                <w:sz w:val="24"/>
              </w:rPr>
              <w:t>，每套设施活性炭初装量约</w:t>
            </w:r>
            <w:r>
              <w:rPr>
                <w:rFonts w:hint="eastAsia"/>
                <w:color w:val="auto"/>
                <w:sz w:val="24"/>
                <w:lang w:val="en-US" w:eastAsia="zh-CN"/>
              </w:rPr>
              <w:t>30</w:t>
            </w:r>
            <w:r>
              <w:rPr>
                <w:rFonts w:hint="eastAsia"/>
                <w:color w:val="auto"/>
                <w:sz w:val="24"/>
              </w:rPr>
              <w:t>0kg，更换周期约</w:t>
            </w:r>
            <w:r>
              <w:rPr>
                <w:rFonts w:hint="eastAsia"/>
                <w:color w:val="auto"/>
                <w:sz w:val="24"/>
                <w:lang w:val="en-US" w:eastAsia="zh-CN"/>
              </w:rPr>
              <w:t>2个月</w:t>
            </w:r>
            <w:r>
              <w:rPr>
                <w:rFonts w:hint="eastAsia"/>
                <w:color w:val="auto"/>
                <w:sz w:val="24"/>
              </w:rPr>
              <w:t>。废活性炭的产生量=活性炭重量+吸附的污染物的重量，烟气处理设施活性炭主要用于吸附二噁英、汞等污染物，根据工程分析，由于二噁英、汞等特征污染物产生量极少，吸附量对废活性炭的增重基本可忽略不计，造成废活性炭增重的主要原因为吸附的水分和颗粒物，增重量以活性炭自身重量的10%计，则每次更换产生废活性炭约0.</w:t>
            </w:r>
            <w:r>
              <w:rPr>
                <w:rFonts w:hint="eastAsia"/>
                <w:color w:val="auto"/>
                <w:sz w:val="24"/>
                <w:lang w:val="en-US" w:eastAsia="zh-CN"/>
              </w:rPr>
              <w:t>99</w:t>
            </w:r>
            <w:r>
              <w:rPr>
                <w:rFonts w:hint="eastAsia"/>
                <w:color w:val="auto"/>
                <w:sz w:val="24"/>
              </w:rPr>
              <w:t>t，全年共产生废活性炭约</w:t>
            </w:r>
            <w:r>
              <w:rPr>
                <w:rFonts w:hint="eastAsia"/>
                <w:color w:val="auto"/>
                <w:sz w:val="24"/>
                <w:lang w:val="en-US" w:eastAsia="zh-CN"/>
              </w:rPr>
              <w:t>5.94</w:t>
            </w:r>
            <w:r>
              <w:rPr>
                <w:rFonts w:hint="eastAsia"/>
                <w:color w:val="auto"/>
                <w:sz w:val="24"/>
              </w:rPr>
              <w:t>t。危险废物类别HW18，废物代码772-005-18。</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rPr>
              <w:t>上述产生的焚烧飞灰、废脱硫粉、废活性炭为危险废物，储存于特定容器中，暂存于危废暂存间内，委托有相关处理资质的单位定期外</w:t>
            </w:r>
            <w:r>
              <w:rPr>
                <w:rFonts w:hint="eastAsia"/>
                <w:color w:val="auto"/>
                <w:sz w:val="24"/>
                <w:lang w:val="en-US" w:eastAsia="zh-CN"/>
              </w:rPr>
              <w:t>运</w:t>
            </w:r>
            <w:r>
              <w:rPr>
                <w:rFonts w:hint="eastAsia"/>
                <w:color w:val="auto"/>
                <w:sz w:val="24"/>
              </w:rPr>
              <w:t>处置</w:t>
            </w:r>
            <w:r>
              <w:rPr>
                <w:rFonts w:hint="eastAsia"/>
                <w:color w:val="auto"/>
                <w:sz w:val="24"/>
                <w:lang w:eastAsia="zh-CN"/>
              </w:rPr>
              <w:t>。</w:t>
            </w:r>
          </w:p>
          <w:p>
            <w:pPr>
              <w:pStyle w:val="61"/>
              <w:keepNext w:val="0"/>
              <w:keepLines w:val="0"/>
              <w:widowControl/>
              <w:suppressLineNumbers w:val="0"/>
              <w:spacing w:before="0" w:beforeAutospacing="0" w:after="0" w:afterAutospacing="0"/>
              <w:ind w:left="0" w:right="0"/>
              <w:jc w:val="both"/>
              <w:rPr>
                <w:rFonts w:hint="eastAsia" w:ascii="Times New Roman" w:hAnsi="宋体" w:eastAsia="宋体"/>
                <w:color w:val="auto"/>
              </w:rPr>
            </w:pPr>
            <w:r>
              <w:rPr>
                <w:rFonts w:hint="eastAsia" w:ascii="Times New Roman" w:hAnsi="宋体" w:eastAsia="宋体"/>
                <w:color w:val="auto"/>
                <w:szCs w:val="20"/>
              </w:rPr>
              <w:t>本项目危险废物产生情况见下表。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color w:val="auto"/>
                <w:sz w:val="24"/>
                <w:szCs w:val="32"/>
              </w:rPr>
            </w:pPr>
            <w:r>
              <w:rPr>
                <w:rFonts w:hint="eastAsia" w:ascii="黑体" w:hAnsi="黑体" w:eastAsia="黑体"/>
                <w:color w:val="auto"/>
                <w:sz w:val="24"/>
                <w:szCs w:val="32"/>
              </w:rPr>
              <w:t>表4-1</w:t>
            </w:r>
            <w:r>
              <w:rPr>
                <w:rFonts w:hint="eastAsia" w:ascii="黑体" w:hAnsi="黑体" w:eastAsia="黑体"/>
                <w:color w:val="auto"/>
                <w:sz w:val="24"/>
                <w:szCs w:val="32"/>
                <w:lang w:val="en-US" w:eastAsia="zh-CN"/>
              </w:rPr>
              <w:t>9</w:t>
            </w:r>
            <w:r>
              <w:rPr>
                <w:rFonts w:hint="eastAsia" w:ascii="黑体" w:hAnsi="黑体" w:eastAsia="黑体"/>
                <w:color w:val="auto"/>
                <w:sz w:val="24"/>
                <w:szCs w:val="32"/>
              </w:rPr>
              <w:t xml:space="preserve">  危险废物汇总表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89"/>
              <w:gridCol w:w="860"/>
              <w:gridCol w:w="1241"/>
              <w:gridCol w:w="951"/>
              <w:gridCol w:w="1021"/>
              <w:gridCol w:w="609"/>
              <w:gridCol w:w="1161"/>
              <w:gridCol w:w="69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序号</w:t>
                  </w:r>
                </w:p>
              </w:tc>
              <w:tc>
                <w:tcPr>
                  <w:tcW w:w="462"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危险废物名称</w:t>
                  </w:r>
                </w:p>
              </w:tc>
              <w:tc>
                <w:tcPr>
                  <w:tcW w:w="503"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危险废物类别</w:t>
                  </w:r>
                </w:p>
              </w:tc>
              <w:tc>
                <w:tcPr>
                  <w:tcW w:w="72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危险废物代码</w:t>
                  </w:r>
                </w:p>
              </w:tc>
              <w:tc>
                <w:tcPr>
                  <w:tcW w:w="55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产生量(吨/年)</w:t>
                  </w:r>
                </w:p>
              </w:tc>
              <w:tc>
                <w:tcPr>
                  <w:tcW w:w="597"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产生工序及装置</w:t>
                  </w:r>
                </w:p>
              </w:tc>
              <w:tc>
                <w:tcPr>
                  <w:tcW w:w="35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形态</w:t>
                  </w:r>
                </w:p>
              </w:tc>
              <w:tc>
                <w:tcPr>
                  <w:tcW w:w="679"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主要成分/有害成分</w:t>
                  </w:r>
                </w:p>
              </w:tc>
              <w:tc>
                <w:tcPr>
                  <w:tcW w:w="408"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产废周期</w:t>
                  </w:r>
                </w:p>
              </w:tc>
              <w:tc>
                <w:tcPr>
                  <w:tcW w:w="44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危险</w:t>
                  </w:r>
                </w:p>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1</w:t>
                  </w:r>
                </w:p>
              </w:tc>
              <w:tc>
                <w:tcPr>
                  <w:tcW w:w="462"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焚烧飞灰</w:t>
                  </w:r>
                </w:p>
              </w:tc>
              <w:tc>
                <w:tcPr>
                  <w:tcW w:w="503"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HW18</w:t>
                  </w:r>
                </w:p>
              </w:tc>
              <w:tc>
                <w:tcPr>
                  <w:tcW w:w="72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772-002-18</w:t>
                  </w:r>
                </w:p>
              </w:tc>
              <w:tc>
                <w:tcPr>
                  <w:tcW w:w="556" w:type="pct"/>
                  <w:shd w:val="clear" w:color="auto" w:fill="auto"/>
                  <w:vAlign w:val="center"/>
                </w:tcPr>
                <w:p>
                  <w:pPr>
                    <w:pStyle w:val="16"/>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color w:val="auto"/>
                      <w:kern w:val="32"/>
                      <w:sz w:val="21"/>
                      <w:szCs w:val="21"/>
                    </w:rPr>
                  </w:pPr>
                  <w:r>
                    <w:rPr>
                      <w:rFonts w:hint="eastAsia" w:ascii="Times New Roman" w:hAnsi="Times New Roman"/>
                      <w:bCs/>
                      <w:color w:val="auto"/>
                      <w:kern w:val="32"/>
                      <w:sz w:val="21"/>
                      <w:szCs w:val="21"/>
                    </w:rPr>
                    <w:t>5.256</w:t>
                  </w:r>
                </w:p>
              </w:tc>
              <w:tc>
                <w:tcPr>
                  <w:tcW w:w="597" w:type="pct"/>
                  <w:shd w:val="clear" w:color="auto" w:fill="auto"/>
                  <w:vAlign w:val="center"/>
                </w:tcPr>
                <w:p>
                  <w:pPr>
                    <w:pStyle w:val="62"/>
                    <w:keepNext w:val="0"/>
                    <w:keepLines w:val="0"/>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火化、焚烧</w:t>
                  </w:r>
                </w:p>
              </w:tc>
              <w:tc>
                <w:tcPr>
                  <w:tcW w:w="35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固态</w:t>
                  </w:r>
                </w:p>
              </w:tc>
              <w:tc>
                <w:tcPr>
                  <w:tcW w:w="679"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含重金属及二噁英</w:t>
                  </w:r>
                </w:p>
              </w:tc>
              <w:tc>
                <w:tcPr>
                  <w:tcW w:w="408"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间歇</w:t>
                  </w:r>
                </w:p>
              </w:tc>
              <w:tc>
                <w:tcPr>
                  <w:tcW w:w="44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2</w:t>
                  </w:r>
                </w:p>
              </w:tc>
              <w:tc>
                <w:tcPr>
                  <w:tcW w:w="462"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废脱硫粉</w:t>
                  </w:r>
                </w:p>
              </w:tc>
              <w:tc>
                <w:tcPr>
                  <w:tcW w:w="503"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HW18</w:t>
                  </w:r>
                </w:p>
              </w:tc>
              <w:tc>
                <w:tcPr>
                  <w:tcW w:w="72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772-005-18</w:t>
                  </w:r>
                </w:p>
              </w:tc>
              <w:tc>
                <w:tcPr>
                  <w:tcW w:w="556" w:type="pct"/>
                  <w:shd w:val="clear" w:color="auto" w:fill="auto"/>
                  <w:vAlign w:val="center"/>
                </w:tcPr>
                <w:p>
                  <w:pPr>
                    <w:pStyle w:val="16"/>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color w:val="auto"/>
                      <w:kern w:val="32"/>
                      <w:sz w:val="21"/>
                      <w:szCs w:val="21"/>
                    </w:rPr>
                  </w:pPr>
                  <w:r>
                    <w:rPr>
                      <w:rFonts w:hint="eastAsia" w:ascii="Times New Roman" w:hAnsi="Times New Roman"/>
                      <w:color w:val="auto"/>
                      <w:kern w:val="32"/>
                      <w:sz w:val="21"/>
                      <w:szCs w:val="21"/>
                    </w:rPr>
                    <w:t>1.752</w:t>
                  </w:r>
                </w:p>
              </w:tc>
              <w:tc>
                <w:tcPr>
                  <w:tcW w:w="597" w:type="pct"/>
                  <w:shd w:val="clear" w:color="auto" w:fill="auto"/>
                  <w:vAlign w:val="center"/>
                </w:tcPr>
                <w:p>
                  <w:pPr>
                    <w:pStyle w:val="62"/>
                    <w:keepNext w:val="0"/>
                    <w:keepLines w:val="0"/>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烟气处理</w:t>
                  </w:r>
                </w:p>
              </w:tc>
              <w:tc>
                <w:tcPr>
                  <w:tcW w:w="35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固态</w:t>
                  </w:r>
                </w:p>
              </w:tc>
              <w:tc>
                <w:tcPr>
                  <w:tcW w:w="679"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含重金属及二噁英</w:t>
                  </w:r>
                </w:p>
              </w:tc>
              <w:tc>
                <w:tcPr>
                  <w:tcW w:w="408"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间歇</w:t>
                  </w:r>
                </w:p>
              </w:tc>
              <w:tc>
                <w:tcPr>
                  <w:tcW w:w="44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3</w:t>
                  </w:r>
                </w:p>
              </w:tc>
              <w:tc>
                <w:tcPr>
                  <w:tcW w:w="462"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废活性炭</w:t>
                  </w:r>
                </w:p>
              </w:tc>
              <w:tc>
                <w:tcPr>
                  <w:tcW w:w="503"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HW18</w:t>
                  </w:r>
                </w:p>
              </w:tc>
              <w:tc>
                <w:tcPr>
                  <w:tcW w:w="72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772-005-18</w:t>
                  </w:r>
                </w:p>
              </w:tc>
              <w:tc>
                <w:tcPr>
                  <w:tcW w:w="556" w:type="pct"/>
                  <w:shd w:val="clear" w:color="auto" w:fill="auto"/>
                  <w:vAlign w:val="center"/>
                </w:tcPr>
                <w:p>
                  <w:pPr>
                    <w:pStyle w:val="16"/>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olor w:val="auto"/>
                      <w:kern w:val="32"/>
                      <w:sz w:val="21"/>
                      <w:szCs w:val="21"/>
                      <w:lang w:val="en-US" w:eastAsia="zh-CN"/>
                    </w:rPr>
                  </w:pPr>
                  <w:r>
                    <w:rPr>
                      <w:rFonts w:hint="eastAsia" w:ascii="Times New Roman" w:hAnsi="Times New Roman"/>
                      <w:color w:val="auto"/>
                      <w:kern w:val="32"/>
                      <w:sz w:val="21"/>
                      <w:szCs w:val="21"/>
                      <w:lang w:val="en-US" w:eastAsia="zh-CN"/>
                    </w:rPr>
                    <w:t>5.94</w:t>
                  </w:r>
                </w:p>
              </w:tc>
              <w:tc>
                <w:tcPr>
                  <w:tcW w:w="597" w:type="pct"/>
                  <w:shd w:val="clear" w:color="auto" w:fill="auto"/>
                  <w:vAlign w:val="center"/>
                </w:tcPr>
                <w:p>
                  <w:pPr>
                    <w:pStyle w:val="62"/>
                    <w:keepNext w:val="0"/>
                    <w:keepLines w:val="0"/>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烟气处理</w:t>
                  </w:r>
                </w:p>
              </w:tc>
              <w:tc>
                <w:tcPr>
                  <w:tcW w:w="35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固态</w:t>
                  </w:r>
                </w:p>
              </w:tc>
              <w:tc>
                <w:tcPr>
                  <w:tcW w:w="679"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含重金属及二噁英</w:t>
                  </w:r>
                </w:p>
              </w:tc>
              <w:tc>
                <w:tcPr>
                  <w:tcW w:w="408"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间歇</w:t>
                  </w:r>
                </w:p>
              </w:tc>
              <w:tc>
                <w:tcPr>
                  <w:tcW w:w="446" w:type="pct"/>
                  <w:shd w:val="clear" w:color="auto" w:fill="auto"/>
                  <w:vAlign w:val="center"/>
                </w:tcPr>
                <w:p>
                  <w:pPr>
                    <w:pStyle w:val="62"/>
                    <w:keepNext w:val="0"/>
                    <w:keepLines w:val="0"/>
                    <w:widowControl/>
                    <w:suppressLineNumbers w:val="0"/>
                    <w:snapToGrid/>
                    <w:spacing w:before="0" w:beforeAutospacing="0" w:after="0" w:afterAutospacing="0" w:line="240" w:lineRule="auto"/>
                    <w:ind w:left="0" w:right="0" w:firstLine="0" w:firstLineChars="0"/>
                    <w:rPr>
                      <w:rFonts w:hint="eastAsia"/>
                      <w:color w:val="auto"/>
                      <w:sz w:val="21"/>
                      <w:szCs w:val="21"/>
                    </w:rPr>
                  </w:pPr>
                  <w:r>
                    <w:rPr>
                      <w:rFonts w:hint="eastAsia"/>
                      <w:color w:val="auto"/>
                      <w:sz w:val="21"/>
                      <w:szCs w:val="21"/>
                    </w:rPr>
                    <w:t>有毒</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szCs w:val="24"/>
              </w:rPr>
              <w:t>根据《建设项目危险废物环境影响评价指南》、《危险废物贮存污染控制标准》（GB18597-2001）及标准修改单（[2013]第36号）及《危险废物转移管理办法》（生态环境部、公安部、交通运输部令第23号）中的的规定，环评对本工程中危险废物的收集、运输、转移及储存等提出以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b/>
                <w:color w:val="auto"/>
                <w:sz w:val="24"/>
              </w:rPr>
            </w:pPr>
            <w:r>
              <w:rPr>
                <w:rFonts w:hint="eastAsia"/>
                <w:b/>
                <w:color w:val="auto"/>
                <w:sz w:val="24"/>
              </w:rPr>
              <w:t>①暂存要求：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sz w:val="24"/>
              </w:rPr>
            </w:pPr>
            <w:r>
              <w:rPr>
                <w:rFonts w:hint="eastAsia"/>
                <w:color w:val="auto"/>
                <w:sz w:val="24"/>
                <w:szCs w:val="24"/>
              </w:rPr>
              <w:t>A根据本项目的工序特点，建设单位拟在</w:t>
            </w:r>
            <w:r>
              <w:rPr>
                <w:rFonts w:hint="eastAsia"/>
                <w:color w:val="auto"/>
                <w:sz w:val="24"/>
                <w:szCs w:val="24"/>
                <w:lang w:val="en-US" w:eastAsia="zh-CN"/>
              </w:rPr>
              <w:t>火化间东侧</w:t>
            </w:r>
            <w:r>
              <w:rPr>
                <w:rFonts w:hint="eastAsia"/>
                <w:color w:val="auto"/>
                <w:sz w:val="24"/>
                <w:szCs w:val="24"/>
              </w:rPr>
              <w:t>设置一座危废暂存间，面积为</w:t>
            </w:r>
            <w:r>
              <w:rPr>
                <w:rFonts w:hint="eastAsia"/>
                <w:color w:val="auto"/>
                <w:sz w:val="24"/>
                <w:szCs w:val="24"/>
                <w:lang w:val="en-US" w:eastAsia="zh-CN"/>
              </w:rPr>
              <w:t>3</w:t>
            </w:r>
            <w:r>
              <w:rPr>
                <w:rFonts w:hint="eastAsia"/>
                <w:color w:val="auto"/>
                <w:sz w:val="24"/>
                <w:szCs w:val="24"/>
              </w:rPr>
              <w:t>0m</w:t>
            </w:r>
            <w:r>
              <w:rPr>
                <w:rFonts w:hint="eastAsia"/>
                <w:color w:val="auto"/>
                <w:sz w:val="24"/>
                <w:szCs w:val="24"/>
                <w:vertAlign w:val="superscript"/>
              </w:rPr>
              <w:t>2</w:t>
            </w:r>
            <w:r>
              <w:rPr>
                <w:rFonts w:hint="eastAsia"/>
                <w:color w:val="auto"/>
                <w:sz w:val="24"/>
                <w:szCs w:val="24"/>
              </w:rPr>
              <w:t>；危废暂存间的地面与裙角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角，地面与裙角所围建的容积不低于堵截最大容器的最大储量或总储量的1/5；不相容的危险废物必须分开存放，并设有隔离间隔断。</w:t>
            </w:r>
          </w:p>
          <w:p>
            <w:pPr>
              <w:keepNext w:val="0"/>
              <w:keepLines w:val="0"/>
              <w:suppressLineNumbers w:val="0"/>
              <w:spacing w:before="0" w:beforeAutospacing="0" w:after="0" w:afterAutospacing="0" w:line="480" w:lineRule="exact"/>
              <w:ind w:left="0" w:right="0"/>
              <w:jc w:val="center"/>
              <w:rPr>
                <w:rFonts w:hint="eastAsia" w:eastAsia="黑体"/>
                <w:color w:val="auto"/>
                <w:kern w:val="0"/>
                <w:sz w:val="24"/>
                <w:szCs w:val="24"/>
              </w:rPr>
            </w:pPr>
            <w:r>
              <w:rPr>
                <w:rFonts w:hint="eastAsia" w:eastAsia="黑体"/>
                <w:color w:val="auto"/>
                <w:kern w:val="0"/>
                <w:sz w:val="24"/>
                <w:szCs w:val="24"/>
              </w:rPr>
              <w:t>表</w:t>
            </w:r>
            <w:r>
              <w:rPr>
                <w:rFonts w:hint="eastAsia" w:eastAsia="黑体"/>
                <w:color w:val="auto"/>
                <w:kern w:val="0"/>
                <w:sz w:val="24"/>
                <w:szCs w:val="24"/>
                <w:lang w:val="en-US" w:eastAsia="zh-CN"/>
              </w:rPr>
              <w:t>4-20</w:t>
            </w:r>
            <w:r>
              <w:rPr>
                <w:rFonts w:hint="eastAsia" w:eastAsia="黑体"/>
                <w:color w:val="auto"/>
                <w:kern w:val="0"/>
                <w:sz w:val="24"/>
                <w:szCs w:val="24"/>
              </w:rPr>
              <w:t xml:space="preserve">  危险废物贮存场所基本情况表</w:t>
            </w:r>
          </w:p>
          <w:tbl>
            <w:tblPr>
              <w:tblStyle w:val="19"/>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50"/>
              <w:gridCol w:w="1121"/>
              <w:gridCol w:w="856"/>
              <w:gridCol w:w="1213"/>
              <w:gridCol w:w="781"/>
              <w:gridCol w:w="704"/>
              <w:gridCol w:w="617"/>
              <w:gridCol w:w="101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序号</w:t>
                  </w:r>
                </w:p>
              </w:tc>
              <w:tc>
                <w:tcPr>
                  <w:tcW w:w="380"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贮存场所名称</w:t>
                  </w:r>
                </w:p>
              </w:tc>
              <w:tc>
                <w:tcPr>
                  <w:tcW w:w="656"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危险废物名称</w:t>
                  </w:r>
                </w:p>
              </w:tc>
              <w:tc>
                <w:tcPr>
                  <w:tcW w:w="501"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危险废物类别</w:t>
                  </w:r>
                </w:p>
              </w:tc>
              <w:tc>
                <w:tcPr>
                  <w:tcW w:w="710"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危险废物代码</w:t>
                  </w:r>
                </w:p>
              </w:tc>
              <w:tc>
                <w:tcPr>
                  <w:tcW w:w="457"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位置</w:t>
                  </w:r>
                </w:p>
              </w:tc>
              <w:tc>
                <w:tcPr>
                  <w:tcW w:w="412"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占地面积</w:t>
                  </w:r>
                </w:p>
              </w:tc>
              <w:tc>
                <w:tcPr>
                  <w:tcW w:w="361"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贮存方式</w:t>
                  </w:r>
                </w:p>
              </w:tc>
              <w:tc>
                <w:tcPr>
                  <w:tcW w:w="593"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贮存</w:t>
                  </w:r>
                </w:p>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能力</w:t>
                  </w:r>
                </w:p>
              </w:tc>
              <w:tc>
                <w:tcPr>
                  <w:tcW w:w="676"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贮存</w:t>
                  </w:r>
                </w:p>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1</w:t>
                  </w:r>
                </w:p>
              </w:tc>
              <w:tc>
                <w:tcPr>
                  <w:tcW w:w="380" w:type="pct"/>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危废暂存间</w:t>
                  </w:r>
                </w:p>
              </w:tc>
              <w:tc>
                <w:tcPr>
                  <w:tcW w:w="656"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焚烧飞灰</w:t>
                  </w:r>
                </w:p>
              </w:tc>
              <w:tc>
                <w:tcPr>
                  <w:tcW w:w="501"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HW18</w:t>
                  </w:r>
                </w:p>
              </w:tc>
              <w:tc>
                <w:tcPr>
                  <w:tcW w:w="710"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772-002-18</w:t>
                  </w:r>
                </w:p>
              </w:tc>
              <w:tc>
                <w:tcPr>
                  <w:tcW w:w="457" w:type="pct"/>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位于</w:t>
                  </w:r>
                  <w:r>
                    <w:rPr>
                      <w:rFonts w:hint="eastAsia"/>
                      <w:color w:val="auto"/>
                      <w:kern w:val="0"/>
                      <w:szCs w:val="21"/>
                      <w:lang w:val="en-US" w:eastAsia="zh-CN"/>
                    </w:rPr>
                    <w:t>火化间东</w:t>
                  </w:r>
                  <w:r>
                    <w:rPr>
                      <w:rFonts w:hint="eastAsia"/>
                      <w:color w:val="auto"/>
                      <w:kern w:val="0"/>
                      <w:szCs w:val="21"/>
                    </w:rPr>
                    <w:t>侧</w:t>
                  </w:r>
                </w:p>
              </w:tc>
              <w:tc>
                <w:tcPr>
                  <w:tcW w:w="412" w:type="pct"/>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3</w:t>
                  </w:r>
                  <w:r>
                    <w:rPr>
                      <w:rFonts w:hint="eastAsia"/>
                      <w:color w:val="auto"/>
                      <w:kern w:val="0"/>
                      <w:szCs w:val="21"/>
                    </w:rPr>
                    <w:t>0</w:t>
                  </w:r>
                </w:p>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m</w:t>
                  </w:r>
                  <w:r>
                    <w:rPr>
                      <w:rFonts w:hint="eastAsia"/>
                      <w:color w:val="auto"/>
                      <w:kern w:val="0"/>
                      <w:szCs w:val="21"/>
                      <w:vertAlign w:val="superscript"/>
                    </w:rPr>
                    <w:t>2</w:t>
                  </w:r>
                </w:p>
              </w:tc>
              <w:tc>
                <w:tcPr>
                  <w:tcW w:w="361"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袋装</w:t>
                  </w:r>
                </w:p>
              </w:tc>
              <w:tc>
                <w:tcPr>
                  <w:tcW w:w="593"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3</w:t>
                  </w:r>
                  <w:r>
                    <w:rPr>
                      <w:rFonts w:hint="eastAsia"/>
                      <w:color w:val="auto"/>
                      <w:kern w:val="0"/>
                      <w:szCs w:val="21"/>
                    </w:rPr>
                    <w:t>t</w:t>
                  </w:r>
                </w:p>
              </w:tc>
              <w:tc>
                <w:tcPr>
                  <w:tcW w:w="676"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0.5</w:t>
                  </w:r>
                  <w:r>
                    <w:rPr>
                      <w:rFonts w:hint="eastAsia"/>
                      <w:color w:val="auto"/>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380"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656"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废脱硫粉</w:t>
                  </w:r>
                </w:p>
              </w:tc>
              <w:tc>
                <w:tcPr>
                  <w:tcW w:w="501"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HW18</w:t>
                  </w:r>
                </w:p>
              </w:tc>
              <w:tc>
                <w:tcPr>
                  <w:tcW w:w="710"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772-005-18</w:t>
                  </w:r>
                </w:p>
              </w:tc>
              <w:tc>
                <w:tcPr>
                  <w:tcW w:w="457"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412"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361"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袋装</w:t>
                  </w:r>
                </w:p>
              </w:tc>
              <w:tc>
                <w:tcPr>
                  <w:tcW w:w="593"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3</w:t>
                  </w:r>
                  <w:r>
                    <w:rPr>
                      <w:rFonts w:hint="eastAsia"/>
                      <w:color w:val="auto"/>
                      <w:kern w:val="0"/>
                      <w:szCs w:val="21"/>
                    </w:rPr>
                    <w:t>t</w:t>
                  </w:r>
                </w:p>
              </w:tc>
              <w:tc>
                <w:tcPr>
                  <w:tcW w:w="676"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0.5</w:t>
                  </w:r>
                  <w:r>
                    <w:rPr>
                      <w:rFonts w:hint="eastAsia"/>
                      <w:color w:val="auto"/>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380"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656"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废活性炭</w:t>
                  </w:r>
                </w:p>
              </w:tc>
              <w:tc>
                <w:tcPr>
                  <w:tcW w:w="501"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HW18</w:t>
                  </w:r>
                </w:p>
              </w:tc>
              <w:tc>
                <w:tcPr>
                  <w:tcW w:w="710" w:type="pct"/>
                  <w:vAlign w:val="center"/>
                </w:tcPr>
                <w:p>
                  <w:pPr>
                    <w:pStyle w:val="62"/>
                    <w:keepNext w:val="0"/>
                    <w:keepLines w:val="0"/>
                    <w:widowControl/>
                    <w:suppressLineNumbers w:val="0"/>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0"/>
                      <w:szCs w:val="21"/>
                    </w:rPr>
                  </w:pPr>
                  <w:r>
                    <w:rPr>
                      <w:rFonts w:hint="eastAsia"/>
                      <w:color w:val="auto"/>
                      <w:sz w:val="21"/>
                      <w:szCs w:val="21"/>
                    </w:rPr>
                    <w:t>772-005-18</w:t>
                  </w:r>
                </w:p>
              </w:tc>
              <w:tc>
                <w:tcPr>
                  <w:tcW w:w="457"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412" w:type="pct"/>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p>
              </w:tc>
              <w:tc>
                <w:tcPr>
                  <w:tcW w:w="361"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袋装</w:t>
                  </w:r>
                </w:p>
              </w:tc>
              <w:tc>
                <w:tcPr>
                  <w:tcW w:w="593"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3</w:t>
                  </w:r>
                  <w:r>
                    <w:rPr>
                      <w:rFonts w:hint="eastAsia"/>
                      <w:color w:val="auto"/>
                      <w:kern w:val="0"/>
                      <w:szCs w:val="21"/>
                    </w:rPr>
                    <w:t>t</w:t>
                  </w:r>
                </w:p>
              </w:tc>
              <w:tc>
                <w:tcPr>
                  <w:tcW w:w="676" w:type="pct"/>
                  <w:vAlign w:val="center"/>
                </w:tcPr>
                <w:p>
                  <w:pPr>
                    <w:keepNext w:val="0"/>
                    <w:keepLines w:val="0"/>
                    <w:suppressLineNumbers w:val="0"/>
                    <w:topLinePunct/>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0.5</w:t>
                  </w:r>
                  <w:r>
                    <w:rPr>
                      <w:rFonts w:hint="eastAsia"/>
                      <w:color w:val="auto"/>
                      <w:kern w:val="0"/>
                      <w:szCs w:val="21"/>
                    </w:rPr>
                    <w:t>a</w:t>
                  </w:r>
                </w:p>
              </w:tc>
            </w:tr>
          </w:tbl>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B危险废物暂存间基础必须防渗，防渗层采用2mm厚高密度聚乙烯，或至少2mm厚的其它人工材料，渗透系数≤10</w:t>
            </w:r>
            <w:r>
              <w:rPr>
                <w:rFonts w:hint="eastAsia"/>
                <w:color w:val="auto"/>
                <w:sz w:val="24"/>
                <w:szCs w:val="24"/>
                <w:vertAlign w:val="superscript"/>
              </w:rPr>
              <w:t>-10</w:t>
            </w:r>
            <w:r>
              <w:rPr>
                <w:rFonts w:hint="eastAsia"/>
                <w:color w:val="auto"/>
                <w:sz w:val="24"/>
                <w:szCs w:val="24"/>
              </w:rPr>
              <w:t>cm/s。</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C盛装危险废物的容器上必须粘贴符合《危险废物贮存污染控制标准》（GB18597-2001）附录A所示的标签，具体如下图。应当使用符合标准的容器盛装危险废物；装载危险废物的容器及材质要满足相应的强度要求，必须完好无损；容器材质与衬里要与危险废物相容；液体危险废物可注入开孔直径不超过70mm并有放气孔的桶中；</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p>
          <w:p>
            <w:pPr>
              <w:keepNext w:val="0"/>
              <w:keepLines w:val="0"/>
              <w:suppressLineNumbers w:val="0"/>
              <w:spacing w:before="0" w:beforeAutospacing="0" w:after="0" w:afterAutospacing="0"/>
              <w:ind w:left="0" w:right="0"/>
              <w:jc w:val="center"/>
              <w:rPr>
                <w:rFonts w:hint="eastAsia"/>
                <w:color w:val="auto"/>
                <w:sz w:val="24"/>
                <w:szCs w:val="24"/>
              </w:rPr>
            </w:pPr>
            <w:r>
              <w:rPr>
                <w:rFonts w:hint="eastAsia"/>
                <w:color w:val="auto"/>
                <w:sz w:val="24"/>
                <w:szCs w:val="24"/>
              </w:rPr>
              <w:drawing>
                <wp:inline distT="0" distB="0" distL="0" distR="0">
                  <wp:extent cx="4314190" cy="2443480"/>
                  <wp:effectExtent l="0" t="0" r="10160" b="139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0">
                            <a:extLst>
                              <a:ext uri="{28A0092B-C50C-407E-A947-70E740481C1C}">
                                <a14:useLocalDpi xmlns:a14="http://schemas.microsoft.com/office/drawing/2010/main" val="0"/>
                              </a:ext>
                            </a:extLst>
                          </a:blip>
                          <a:srcRect r="1169" b="1653"/>
                          <a:stretch>
                            <a:fillRect/>
                          </a:stretch>
                        </pic:blipFill>
                        <pic:spPr>
                          <a:xfrm>
                            <a:off x="0" y="0"/>
                            <a:ext cx="4314190" cy="2443480"/>
                          </a:xfrm>
                          <a:prstGeom prst="rect">
                            <a:avLst/>
                          </a:prstGeom>
                          <a:noFill/>
                          <a:ln>
                            <a:noFill/>
                          </a:ln>
                        </pic:spPr>
                      </pic:pic>
                    </a:graphicData>
                  </a:graphic>
                </wp:inline>
              </w:drawing>
            </w:r>
          </w:p>
          <w:p>
            <w:pPr>
              <w:keepNext w:val="0"/>
              <w:keepLines w:val="0"/>
              <w:suppressLineNumbers w:val="0"/>
              <w:spacing w:before="0" w:beforeAutospacing="0" w:after="0" w:afterAutospacing="0" w:line="480" w:lineRule="exact"/>
              <w:ind w:left="0" w:right="0"/>
              <w:jc w:val="center"/>
              <w:rPr>
                <w:rFonts w:hint="eastAsia" w:eastAsia="黑体"/>
                <w:color w:val="auto"/>
                <w:sz w:val="24"/>
                <w:szCs w:val="24"/>
              </w:rPr>
            </w:pPr>
            <w:r>
              <w:rPr>
                <w:rFonts w:hint="eastAsia" w:eastAsia="黑体"/>
                <w:color w:val="auto"/>
                <w:sz w:val="24"/>
                <w:szCs w:val="24"/>
              </w:rPr>
              <w:t>图</w:t>
            </w:r>
            <w:r>
              <w:rPr>
                <w:rFonts w:hint="eastAsia" w:eastAsia="黑体"/>
                <w:color w:val="auto"/>
                <w:sz w:val="24"/>
                <w:szCs w:val="24"/>
                <w:lang w:val="en-US" w:eastAsia="zh-CN"/>
              </w:rPr>
              <w:t>4-3</w:t>
            </w:r>
            <w:r>
              <w:rPr>
                <w:rFonts w:hint="eastAsia" w:eastAsia="黑体"/>
                <w:color w:val="auto"/>
                <w:sz w:val="24"/>
                <w:szCs w:val="24"/>
              </w:rPr>
              <w:t xml:space="preserve">  危险废物容器标签</w:t>
            </w:r>
          </w:p>
          <w:p>
            <w:pPr>
              <w:keepNext w:val="0"/>
              <w:keepLines w:val="0"/>
              <w:suppressLineNumbers w:val="0"/>
              <w:spacing w:before="0" w:beforeAutospacing="0" w:after="0" w:afterAutospacing="0"/>
              <w:ind w:left="0" w:right="0"/>
              <w:jc w:val="center"/>
              <w:rPr>
                <w:rFonts w:hint="eastAsia"/>
                <w:color w:val="auto"/>
                <w:sz w:val="24"/>
                <w:szCs w:val="24"/>
              </w:rPr>
            </w:pPr>
            <w:r>
              <w:rPr>
                <w:rFonts w:hint="eastAsia"/>
                <w:color w:val="auto"/>
                <w:sz w:val="24"/>
                <w:szCs w:val="24"/>
              </w:rPr>
              <w:drawing>
                <wp:inline distT="0" distB="0" distL="0" distR="0">
                  <wp:extent cx="4659630" cy="1836420"/>
                  <wp:effectExtent l="0" t="0" r="7620" b="1143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59630" cy="1836420"/>
                          </a:xfrm>
                          <a:prstGeom prst="rect">
                            <a:avLst/>
                          </a:prstGeom>
                          <a:noFill/>
                          <a:ln>
                            <a:noFill/>
                          </a:ln>
                        </pic:spPr>
                      </pic:pic>
                    </a:graphicData>
                  </a:graphic>
                </wp:inline>
              </w:drawing>
            </w:r>
          </w:p>
          <w:p>
            <w:pPr>
              <w:keepNext w:val="0"/>
              <w:keepLines w:val="0"/>
              <w:suppressLineNumbers w:val="0"/>
              <w:spacing w:before="0" w:beforeAutospacing="0" w:after="0" w:afterAutospacing="0" w:line="480" w:lineRule="exact"/>
              <w:ind w:left="0" w:right="0"/>
              <w:jc w:val="center"/>
              <w:rPr>
                <w:rFonts w:hint="eastAsia" w:eastAsia="黑体"/>
                <w:color w:val="auto"/>
                <w:sz w:val="24"/>
                <w:szCs w:val="24"/>
              </w:rPr>
            </w:pPr>
            <w:r>
              <w:rPr>
                <w:rFonts w:hint="eastAsia" w:eastAsia="黑体"/>
                <w:color w:val="auto"/>
                <w:sz w:val="24"/>
                <w:szCs w:val="24"/>
              </w:rPr>
              <w:t>图</w:t>
            </w:r>
            <w:r>
              <w:rPr>
                <w:rFonts w:hint="eastAsia" w:eastAsia="黑体"/>
                <w:color w:val="auto"/>
                <w:sz w:val="24"/>
                <w:szCs w:val="24"/>
                <w:lang w:val="en-US" w:eastAsia="zh-CN"/>
              </w:rPr>
              <w:t>4-4</w:t>
            </w:r>
            <w:r>
              <w:rPr>
                <w:rFonts w:hint="eastAsia" w:eastAsia="黑体"/>
                <w:color w:val="auto"/>
                <w:sz w:val="24"/>
                <w:szCs w:val="24"/>
              </w:rPr>
              <w:t xml:space="preserve">  警示标志及要求</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D危险废物暂存库房不得接收未粘贴上述规定的标签或标签填写不规范的危险废物；</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E必须作好危险废物记录，记录上须注明危险废物的名称、来源、数量、特性和包装容器的类别、入库日期、存放库位、废物出库日期及接收单位名称；危险废物的记录和货单在危险废物回取后应继续保留五年；所有危险废物在厂内暂存不得超过一年。</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F必须定期对所贮存的危险废物包装容器及贮存设施进行检查，发现破损，应及时采取措施清理更换；</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 xml:space="preserve">G危险废物贮存库房设置灭火器等防火设备，做好火灾的预防工作。 </w:t>
            </w:r>
          </w:p>
          <w:p>
            <w:pPr>
              <w:keepNext w:val="0"/>
              <w:keepLines w:val="0"/>
              <w:suppressLineNumbers w:val="0"/>
              <w:spacing w:before="0" w:beforeAutospacing="0" w:after="0" w:afterAutospacing="0" w:line="480" w:lineRule="exact"/>
              <w:ind w:left="0" w:right="0" w:firstLine="482" w:firstLineChars="200"/>
              <w:rPr>
                <w:rFonts w:hint="eastAsia"/>
                <w:b/>
                <w:bCs/>
                <w:color w:val="auto"/>
                <w:sz w:val="24"/>
                <w:szCs w:val="24"/>
              </w:rPr>
            </w:pPr>
            <w:r>
              <w:rPr>
                <w:rFonts w:hint="eastAsia"/>
                <w:b/>
                <w:bCs/>
                <w:color w:val="auto"/>
                <w:sz w:val="24"/>
                <w:szCs w:val="24"/>
              </w:rPr>
              <w:fldChar w:fldCharType="begin"/>
            </w:r>
            <w:r>
              <w:rPr>
                <w:rFonts w:hint="eastAsia"/>
                <w:b/>
                <w:bCs/>
                <w:color w:val="auto"/>
                <w:sz w:val="24"/>
                <w:szCs w:val="24"/>
              </w:rPr>
              <w:instrText xml:space="preserve"> = 2 \* GB3 </w:instrText>
            </w:r>
            <w:r>
              <w:rPr>
                <w:rFonts w:hint="eastAsia"/>
                <w:b/>
                <w:bCs/>
                <w:color w:val="auto"/>
                <w:sz w:val="24"/>
                <w:szCs w:val="24"/>
              </w:rPr>
              <w:fldChar w:fldCharType="separate"/>
            </w:r>
            <w:r>
              <w:rPr>
                <w:rFonts w:hint="eastAsia"/>
                <w:b/>
                <w:bCs/>
                <w:color w:val="auto"/>
                <w:sz w:val="24"/>
                <w:szCs w:val="24"/>
                <w:lang w:val="zh-CN"/>
              </w:rPr>
              <w:t>②</w:t>
            </w:r>
            <w:r>
              <w:rPr>
                <w:rFonts w:hint="eastAsia"/>
                <w:b/>
                <w:bCs/>
                <w:color w:val="auto"/>
                <w:sz w:val="24"/>
                <w:szCs w:val="24"/>
              </w:rPr>
              <w:fldChar w:fldCharType="end"/>
            </w:r>
            <w:r>
              <w:rPr>
                <w:rFonts w:hint="eastAsia"/>
                <w:b/>
                <w:bCs/>
                <w:color w:val="auto"/>
                <w:sz w:val="24"/>
                <w:szCs w:val="24"/>
              </w:rPr>
              <w:t>转移要求：</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 xml:space="preserve">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B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keepNext w:val="0"/>
              <w:keepLines w:val="0"/>
              <w:suppressLineNumbers w:val="0"/>
              <w:spacing w:before="0" w:beforeAutospacing="0" w:after="0" w:afterAutospacing="0" w:line="480" w:lineRule="exact"/>
              <w:ind w:left="0" w:right="0" w:firstLine="480" w:firstLineChars="200"/>
              <w:rPr>
                <w:rFonts w:hint="eastAsia"/>
                <w:color w:val="auto"/>
                <w:sz w:val="24"/>
                <w:szCs w:val="24"/>
              </w:rPr>
            </w:pPr>
            <w:r>
              <w:rPr>
                <w:rFonts w:hint="eastAsia"/>
                <w:color w:val="auto"/>
                <w:sz w:val="24"/>
                <w:szCs w:val="24"/>
              </w:rPr>
              <w:t>C联单保存期限为五年；贮存危险废物的，其联单保存期限与危险废物贮存期限相同。</w:t>
            </w:r>
          </w:p>
          <w:p>
            <w:pPr>
              <w:keepNext w:val="0"/>
              <w:keepLines w:val="0"/>
              <w:suppressLineNumbers w:val="0"/>
              <w:spacing w:before="0" w:beforeAutospacing="0" w:after="0" w:afterAutospacing="0" w:line="480" w:lineRule="exact"/>
              <w:ind w:left="0" w:right="0" w:firstLine="482" w:firstLineChars="200"/>
              <w:rPr>
                <w:rFonts w:hint="eastAsia"/>
                <w:b/>
                <w:bCs/>
                <w:color w:val="auto"/>
                <w:sz w:val="24"/>
                <w:szCs w:val="24"/>
              </w:rPr>
            </w:pPr>
            <w:r>
              <w:rPr>
                <w:rFonts w:hint="eastAsia"/>
                <w:b/>
                <w:bCs/>
                <w:color w:val="auto"/>
                <w:sz w:val="24"/>
                <w:szCs w:val="24"/>
              </w:rPr>
              <w:t>③处置要求：</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szCs w:val="24"/>
              </w:rPr>
              <w:t>建设单位拟委托有资质单位对项目运行期间产生的危险废物进行处置。</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color w:val="auto"/>
                <w:sz w:val="24"/>
                <w:szCs w:val="32"/>
              </w:rPr>
              <w:t>本项目固废污染物产排量汇总情况见下表。</w:t>
            </w:r>
          </w:p>
          <w:p>
            <w:pPr>
              <w:keepNext w:val="0"/>
              <w:keepLines w:val="0"/>
              <w:suppressLineNumbers w:val="0"/>
              <w:autoSpaceDE w:val="0"/>
              <w:autoSpaceDN w:val="0"/>
              <w:adjustRightInd w:val="0"/>
              <w:spacing w:before="0" w:beforeAutospacing="0" w:after="0" w:afterAutospacing="0" w:line="480" w:lineRule="exact"/>
              <w:ind w:left="0" w:right="0"/>
              <w:jc w:val="center"/>
              <w:rPr>
                <w:rFonts w:hint="eastAsia" w:ascii="黑体" w:hAnsi="黑体" w:eastAsia="黑体"/>
                <w:color w:val="auto"/>
                <w:sz w:val="24"/>
                <w:szCs w:val="32"/>
              </w:rPr>
            </w:pPr>
            <w:r>
              <w:rPr>
                <w:rFonts w:hint="eastAsia" w:ascii="黑体" w:hAnsi="黑体" w:eastAsia="黑体"/>
                <w:color w:val="auto"/>
                <w:sz w:val="24"/>
                <w:szCs w:val="32"/>
              </w:rPr>
              <w:t>表4-</w:t>
            </w:r>
            <w:r>
              <w:rPr>
                <w:rFonts w:hint="eastAsia" w:ascii="黑体" w:hAnsi="黑体" w:eastAsia="黑体"/>
                <w:color w:val="auto"/>
                <w:sz w:val="24"/>
                <w:szCs w:val="32"/>
                <w:lang w:val="en-US" w:eastAsia="zh-CN"/>
              </w:rPr>
              <w:t>21</w:t>
            </w:r>
            <w:r>
              <w:rPr>
                <w:rFonts w:hint="eastAsia" w:ascii="黑体" w:hAnsi="黑体" w:eastAsia="黑体"/>
                <w:color w:val="auto"/>
                <w:sz w:val="24"/>
                <w:szCs w:val="32"/>
              </w:rPr>
              <w:t xml:space="preserve">  本项目固体污染物汇总表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132"/>
              <w:gridCol w:w="4146"/>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hAnsi="宋体"/>
                      <w:color w:val="auto"/>
                      <w:szCs w:val="21"/>
                    </w:rPr>
                    <w:t>项目</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hAnsi="宋体"/>
                      <w:color w:val="auto"/>
                      <w:szCs w:val="21"/>
                    </w:rPr>
                    <w:t>产生量</w:t>
                  </w:r>
                  <w:r>
                    <w:rPr>
                      <w:rFonts w:hint="eastAsia"/>
                      <w:color w:val="auto"/>
                      <w:szCs w:val="21"/>
                    </w:rPr>
                    <w:t>t/a</w:t>
                  </w:r>
                </w:p>
              </w:tc>
              <w:tc>
                <w:tcPr>
                  <w:tcW w:w="2425"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hAnsi="宋体"/>
                      <w:color w:val="auto"/>
                      <w:szCs w:val="21"/>
                    </w:rPr>
                    <w:t>处理方式</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hAnsi="宋体"/>
                      <w:color w:val="auto"/>
                      <w:szCs w:val="21"/>
                    </w:rPr>
                    <w:t>排放量</w:t>
                  </w:r>
                  <w:r>
                    <w:rPr>
                      <w:rFonts w:hint="eastAsia"/>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遗体火化产生的骨灰</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5.256</w:t>
                  </w:r>
                </w:p>
              </w:tc>
              <w:tc>
                <w:tcPr>
                  <w:tcW w:w="2425" w:type="pct"/>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bCs/>
                      <w:color w:val="auto"/>
                      <w:szCs w:val="21"/>
                    </w:rPr>
                    <w:t>骨灰在进行挑捡后由各逝者家属装进骨灰盒带走，葬入墓地或寄存于骨灰寄存楼</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火化炉遗留的灰渣</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bCs/>
                      <w:color w:val="auto"/>
                      <w:szCs w:val="21"/>
                    </w:rPr>
                    <w:t>0.219</w:t>
                  </w:r>
                </w:p>
              </w:tc>
              <w:tc>
                <w:tcPr>
                  <w:tcW w:w="2425" w:type="pct"/>
                  <w:vAlign w:val="center"/>
                </w:tcPr>
                <w:p>
                  <w:pPr>
                    <w:keepNext w:val="0"/>
                    <w:keepLines w:val="0"/>
                    <w:widowControl/>
                    <w:suppressLineNumbers w:val="0"/>
                    <w:spacing w:before="0" w:beforeAutospacing="0" w:after="0" w:afterAutospacing="0"/>
                    <w:ind w:left="0" w:right="0"/>
                    <w:jc w:val="center"/>
                    <w:rPr>
                      <w:rFonts w:hint="eastAsia" w:eastAsia="宋体"/>
                      <w:color w:val="auto"/>
                      <w:szCs w:val="21"/>
                      <w:lang w:eastAsia="zh-CN"/>
                    </w:rPr>
                  </w:pPr>
                  <w:r>
                    <w:rPr>
                      <w:rFonts w:hint="eastAsia" w:hAnsi="宋体"/>
                      <w:color w:val="auto"/>
                      <w:szCs w:val="21"/>
                    </w:rPr>
                    <w:t>火化炉遗留的灰渣</w:t>
                  </w:r>
                  <w:r>
                    <w:rPr>
                      <w:rFonts w:hint="eastAsia"/>
                      <w:color w:val="auto"/>
                      <w:szCs w:val="21"/>
                    </w:rPr>
                    <w:t>收集后与生活垃圾一起运至</w:t>
                  </w:r>
                  <w:r>
                    <w:rPr>
                      <w:rFonts w:hint="eastAsia" w:hAnsi="宋体"/>
                      <w:color w:val="auto"/>
                      <w:szCs w:val="21"/>
                    </w:rPr>
                    <w:t>市政指定的地点处理</w:t>
                  </w:r>
                  <w:r>
                    <w:rPr>
                      <w:rFonts w:hint="eastAsia" w:hAnsi="宋体"/>
                      <w:color w:val="auto"/>
                      <w:szCs w:val="21"/>
                      <w:lang w:eastAsia="zh-CN"/>
                    </w:rPr>
                    <w:t>，最终进入五台县生活垃圾填埋场填埋处理</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遗物祭品焚烧灰渣</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9.636</w:t>
                  </w:r>
                </w:p>
              </w:tc>
              <w:tc>
                <w:tcPr>
                  <w:tcW w:w="2425" w:type="pct"/>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hAnsi="宋体"/>
                      <w:color w:val="auto"/>
                      <w:szCs w:val="21"/>
                    </w:rPr>
                    <w:t>遗物祭品焚烧灰渣</w:t>
                  </w:r>
                  <w:r>
                    <w:rPr>
                      <w:rFonts w:hint="eastAsia"/>
                      <w:color w:val="auto"/>
                      <w:szCs w:val="21"/>
                    </w:rPr>
                    <w:t>收集后与生活垃圾一起运至</w:t>
                  </w:r>
                  <w:r>
                    <w:rPr>
                      <w:rFonts w:hint="eastAsia" w:hAnsi="宋体"/>
                      <w:color w:val="auto"/>
                      <w:szCs w:val="21"/>
                    </w:rPr>
                    <w:t>市政指定的地点处理</w:t>
                  </w:r>
                  <w:r>
                    <w:rPr>
                      <w:rFonts w:hint="eastAsia" w:hAnsi="宋体"/>
                      <w:color w:val="auto"/>
                      <w:szCs w:val="21"/>
                      <w:lang w:eastAsia="zh-CN"/>
                    </w:rPr>
                    <w:t>，最终进入五台县生活垃圾填埋场填埋处理</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污水处理设施污泥</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1.5</w:t>
                  </w:r>
                </w:p>
              </w:tc>
              <w:tc>
                <w:tcPr>
                  <w:tcW w:w="2425" w:type="pct"/>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hAnsi="宋体"/>
                      <w:color w:val="auto"/>
                      <w:szCs w:val="21"/>
                    </w:rPr>
                    <w:t>污水处理设施污泥采用消石灰干化后与</w:t>
                  </w:r>
                  <w:r>
                    <w:rPr>
                      <w:rFonts w:hint="eastAsia"/>
                      <w:color w:val="auto"/>
                      <w:szCs w:val="21"/>
                    </w:rPr>
                    <w:t>生活垃圾一起运至</w:t>
                  </w:r>
                  <w:r>
                    <w:rPr>
                      <w:rFonts w:hint="eastAsia" w:hAnsi="宋体"/>
                      <w:color w:val="auto"/>
                      <w:szCs w:val="21"/>
                    </w:rPr>
                    <w:t>市政指定的地点处理</w:t>
                  </w:r>
                  <w:r>
                    <w:rPr>
                      <w:rFonts w:hint="eastAsia" w:hAnsi="宋体"/>
                      <w:color w:val="auto"/>
                      <w:szCs w:val="21"/>
                      <w:lang w:eastAsia="zh-CN"/>
                    </w:rPr>
                    <w:t>，最终进入五台县生活垃圾填埋场填埋处理</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hAnsi="宋体"/>
                      <w:color w:val="auto"/>
                      <w:szCs w:val="21"/>
                    </w:rPr>
                  </w:pPr>
                  <w:r>
                    <w:rPr>
                      <w:rFonts w:hint="eastAsia" w:hAnsi="宋体"/>
                      <w:color w:val="auto"/>
                      <w:szCs w:val="21"/>
                    </w:rPr>
                    <w:t>生活垃圾</w:t>
                  </w:r>
                </w:p>
              </w:tc>
              <w:tc>
                <w:tcPr>
                  <w:tcW w:w="662"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default" w:eastAsia="宋体"/>
                      <w:color w:val="auto"/>
                      <w:szCs w:val="21"/>
                      <w:lang w:val="en-US" w:eastAsia="zh-CN"/>
                    </w:rPr>
                  </w:pPr>
                  <w:r>
                    <w:rPr>
                      <w:rFonts w:hint="eastAsia"/>
                      <w:color w:val="auto"/>
                      <w:szCs w:val="21"/>
                      <w:lang w:val="en-US" w:eastAsia="zh-CN"/>
                    </w:rPr>
                    <w:t>16.43</w:t>
                  </w:r>
                </w:p>
              </w:tc>
              <w:tc>
                <w:tcPr>
                  <w:tcW w:w="2425"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hAnsi="宋体"/>
                      <w:color w:val="auto"/>
                      <w:szCs w:val="21"/>
                    </w:rPr>
                  </w:pPr>
                  <w:r>
                    <w:rPr>
                      <w:rFonts w:hint="eastAsia" w:hAnsi="宋体"/>
                      <w:color w:val="auto"/>
                      <w:szCs w:val="21"/>
                    </w:rPr>
                    <w:t>设置垃圾筒，垃圾经收集后运至市政指定的地点外协处理</w:t>
                  </w:r>
                  <w:r>
                    <w:rPr>
                      <w:rFonts w:hint="eastAsia" w:hAnsi="宋体"/>
                      <w:color w:val="auto"/>
                      <w:szCs w:val="21"/>
                      <w:lang w:eastAsia="zh-CN"/>
                    </w:rPr>
                    <w:t>，最终进入五台县生活垃圾填埋场填埋处理</w:t>
                  </w:r>
                </w:p>
              </w:tc>
              <w:tc>
                <w:tcPr>
                  <w:tcW w:w="619"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污水处理设施隔油池油渣</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0.361</w:t>
                  </w:r>
                </w:p>
              </w:tc>
              <w:tc>
                <w:tcPr>
                  <w:tcW w:w="2425" w:type="pct"/>
                  <w:vAlign w:val="center"/>
                </w:tcPr>
                <w:p>
                  <w:pPr>
                    <w:keepNext w:val="0"/>
                    <w:keepLines w:val="0"/>
                    <w:widowControl/>
                    <w:suppressLineNumbers w:val="0"/>
                    <w:spacing w:before="0" w:beforeAutospacing="0" w:after="0" w:afterAutospacing="0"/>
                    <w:ind w:left="0" w:right="0"/>
                    <w:jc w:val="center"/>
                    <w:rPr>
                      <w:rFonts w:hint="eastAsia" w:hAnsi="宋体"/>
                      <w:color w:val="auto"/>
                      <w:szCs w:val="21"/>
                    </w:rPr>
                  </w:pPr>
                  <w:r>
                    <w:rPr>
                      <w:rFonts w:hint="eastAsia" w:hAnsi="宋体"/>
                      <w:bCs/>
                      <w:color w:val="auto"/>
                      <w:szCs w:val="21"/>
                    </w:rPr>
                    <w:t>隔油池油渣收集后委托相关餐饮废物回收单位回收处理</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焚烧飞灰（HW18-</w:t>
                  </w:r>
                  <w:r>
                    <w:rPr>
                      <w:rFonts w:hint="eastAsia" w:hAnsi="宋体"/>
                      <w:bCs/>
                      <w:color w:val="auto"/>
                      <w:szCs w:val="21"/>
                    </w:rPr>
                    <w:t>772-002-18</w:t>
                  </w:r>
                  <w:r>
                    <w:rPr>
                      <w:rFonts w:hint="eastAsia" w:hAnsi="宋体"/>
                      <w:color w:val="auto"/>
                      <w:szCs w:val="21"/>
                    </w:rPr>
                    <w:t>）</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5.256</w:t>
                  </w:r>
                </w:p>
              </w:tc>
              <w:tc>
                <w:tcPr>
                  <w:tcW w:w="2425" w:type="pct"/>
                  <w:vMerge w:val="restar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储存于特定容器中，暂存于危废库内，委托有相关处理资质的单位定期外协处置</w:t>
                  </w: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废脱硫粉（HW18-772-005-18）</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1.752</w:t>
                  </w:r>
                </w:p>
              </w:tc>
              <w:tc>
                <w:tcPr>
                  <w:tcW w:w="2425" w:type="pct"/>
                  <w:vMerge w:val="continue"/>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2" w:type="pct"/>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r>
                    <w:rPr>
                      <w:rFonts w:hint="eastAsia" w:hAnsi="宋体"/>
                      <w:color w:val="auto"/>
                      <w:szCs w:val="21"/>
                    </w:rPr>
                    <w:t>废活性炭（HW18-772-005-18）</w:t>
                  </w:r>
                </w:p>
              </w:tc>
              <w:tc>
                <w:tcPr>
                  <w:tcW w:w="662" w:type="pct"/>
                  <w:vAlign w:val="center"/>
                </w:tcPr>
                <w:p>
                  <w:pPr>
                    <w:keepNext w:val="0"/>
                    <w:keepLines w:val="0"/>
                    <w:suppressLineNumbers w:val="0"/>
                    <w:autoSpaceDE w:val="0"/>
                    <w:autoSpaceDN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5.94</w:t>
                  </w:r>
                </w:p>
              </w:tc>
              <w:tc>
                <w:tcPr>
                  <w:tcW w:w="2425" w:type="pct"/>
                  <w:vMerge w:val="continue"/>
                  <w:vAlign w:val="center"/>
                </w:tcPr>
                <w:p>
                  <w:pPr>
                    <w:keepNext w:val="0"/>
                    <w:keepLines w:val="0"/>
                    <w:suppressLineNumbers w:val="0"/>
                    <w:autoSpaceDE w:val="0"/>
                    <w:autoSpaceDN w:val="0"/>
                    <w:spacing w:before="0" w:beforeAutospacing="0" w:after="0" w:afterAutospacing="0"/>
                    <w:ind w:left="0" w:right="0"/>
                    <w:jc w:val="center"/>
                    <w:rPr>
                      <w:rFonts w:hint="eastAsia" w:hAnsi="宋体"/>
                      <w:color w:val="auto"/>
                      <w:szCs w:val="21"/>
                    </w:rPr>
                  </w:pPr>
                </w:p>
              </w:tc>
              <w:tc>
                <w:tcPr>
                  <w:tcW w:w="619" w:type="pct"/>
                  <w:vAlign w:val="center"/>
                </w:tcPr>
                <w:p>
                  <w:pPr>
                    <w:keepNext w:val="0"/>
                    <w:keepLines w:val="0"/>
                    <w:suppressLineNumbers w:val="0"/>
                    <w:autoSpaceDE w:val="0"/>
                    <w:autoSpaceDN w:val="0"/>
                    <w:spacing w:before="0" w:beforeAutospacing="0" w:after="0" w:afterAutospacing="0"/>
                    <w:ind w:left="0" w:right="0"/>
                    <w:jc w:val="center"/>
                    <w:rPr>
                      <w:rFonts w:hint="eastAsia"/>
                      <w:color w:val="auto"/>
                      <w:szCs w:val="21"/>
                    </w:rPr>
                  </w:pPr>
                  <w:r>
                    <w:rPr>
                      <w:rFonts w:hint="eastAsia"/>
                      <w:color w:val="auto"/>
                      <w:szCs w:val="21"/>
                    </w:rPr>
                    <w:t>0</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综上所述，本项目所产生的固体废物均得到了综合利用或合理处置，对周围环境影响较小。</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4、运营期</w:t>
            </w:r>
            <w:r>
              <w:rPr>
                <w:rFonts w:hint="eastAsia"/>
                <w:b/>
                <w:color w:val="auto"/>
                <w:sz w:val="24"/>
              </w:rPr>
              <w:t>噪声源及污染防治措施</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Cs/>
                <w:color w:val="auto"/>
                <w:sz w:val="24"/>
              </w:rPr>
            </w:pPr>
            <w:r>
              <w:rPr>
                <w:rFonts w:hint="eastAsia"/>
                <w:b/>
                <w:color w:val="auto"/>
                <w:sz w:val="24"/>
              </w:rPr>
              <w:t>（1）噪声源及污染防治措施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szCs w:val="24"/>
              </w:rPr>
            </w:pPr>
            <w:r>
              <w:rPr>
                <w:rFonts w:hint="eastAsia"/>
                <w:bCs/>
                <w:color w:val="auto"/>
                <w:sz w:val="24"/>
                <w:szCs w:val="24"/>
              </w:rPr>
              <w:t>本项目主要噪声源为火化机、焚烧炉的鼓、引风机，烟气处理设施引风机，冰柜制冷机、备用柴油发电机运行噪声，悼念活动时高音喇叭、乐队奏乐以及人群哀悼等产生的噪声，以及交通噪声；这些噪声源强为65～115dB(A)。</w:t>
            </w:r>
            <w:r>
              <w:rPr>
                <w:rFonts w:hint="eastAsia" w:cs="宋体"/>
                <w:color w:val="auto"/>
                <w:sz w:val="24"/>
                <w:szCs w:val="24"/>
                <w:lang w:bidi="ar"/>
              </w:rPr>
              <w:t>营运期主要噪声源位置及源强见下表。</w:t>
            </w:r>
          </w:p>
          <w:p>
            <w:pPr>
              <w:pStyle w:val="16"/>
              <w:keepNext w:val="0"/>
              <w:keepLines w:val="0"/>
              <w:widowControl w:val="0"/>
              <w:suppressLineNumbers w:val="0"/>
              <w:spacing w:before="0" w:beforeAutospacing="0" w:after="0" w:afterAutospacing="0" w:line="480" w:lineRule="exact"/>
              <w:ind w:left="0" w:right="0"/>
              <w:jc w:val="center"/>
              <w:rPr>
                <w:rFonts w:hint="eastAsia" w:ascii="黑体" w:hAnsi="黑体" w:eastAsia="黑体"/>
                <w:bCs/>
                <w:color w:val="auto"/>
                <w:szCs w:val="24"/>
              </w:rPr>
            </w:pPr>
            <w:r>
              <w:rPr>
                <w:rFonts w:hint="eastAsia" w:ascii="黑体" w:hAnsi="黑体" w:eastAsia="黑体"/>
                <w:bCs/>
                <w:color w:val="auto"/>
                <w:kern w:val="2"/>
                <w:szCs w:val="24"/>
                <w:lang w:bidi="ar"/>
              </w:rPr>
              <w:t>表</w:t>
            </w:r>
            <w:r>
              <w:rPr>
                <w:rFonts w:hint="eastAsia" w:ascii="黑体" w:hAnsi="黑体" w:eastAsia="黑体"/>
                <w:bCs/>
                <w:color w:val="auto"/>
                <w:kern w:val="2"/>
                <w:szCs w:val="24"/>
                <w:lang w:val="en-US" w:eastAsia="zh-CN" w:bidi="ar"/>
              </w:rPr>
              <w:t xml:space="preserve">4-22 </w:t>
            </w:r>
            <w:r>
              <w:rPr>
                <w:rFonts w:hint="eastAsia" w:ascii="黑体" w:hAnsi="黑体" w:eastAsia="黑体"/>
                <w:bCs/>
                <w:color w:val="auto"/>
                <w:kern w:val="2"/>
                <w:szCs w:val="24"/>
                <w:lang w:bidi="ar"/>
              </w:rPr>
              <w:t xml:space="preserve"> 营运期主要噪声源及源强</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3750"/>
              <w:gridCol w:w="1325"/>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序号</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噪声源</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噪声dB(A)</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产生位置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1</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火化机、焚烧炉的鼓、引风机</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70-105</w:t>
                  </w:r>
                </w:p>
              </w:tc>
              <w:tc>
                <w:tcPr>
                  <w:tcW w:w="1422" w:type="pct"/>
                  <w:vMerge w:val="restart"/>
                  <w:tcBorders>
                    <w:top w:val="single" w:color="auto" w:sz="4" w:space="0"/>
                    <w:left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火化间、焚烧炉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2</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烟气处理设施</w:t>
                  </w:r>
                  <w:r>
                    <w:rPr>
                      <w:rFonts w:hint="eastAsia" w:ascii="Times New Roman" w:hAnsi="Times New Roman"/>
                      <w:bCs/>
                      <w:color w:val="auto"/>
                      <w:sz w:val="21"/>
                      <w:szCs w:val="21"/>
                      <w:lang w:bidi="ar"/>
                    </w:rPr>
                    <w:t>引风机</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75-105</w:t>
                  </w:r>
                </w:p>
              </w:tc>
              <w:tc>
                <w:tcPr>
                  <w:tcW w:w="1422" w:type="pct"/>
                  <w:vMerge w:val="continue"/>
                  <w:tcBorders>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3</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冰柜制冷机运行噪声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70-80</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遗体处置中心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4</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备用柴油发电机</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95-115</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ascii="Times New Roman" w:hAnsi="Times New Roman"/>
                      <w:color w:val="auto"/>
                      <w:sz w:val="21"/>
                      <w:szCs w:val="21"/>
                      <w:lang w:bidi="ar"/>
                    </w:rPr>
                  </w:pPr>
                  <w:r>
                    <w:rPr>
                      <w:rFonts w:hint="eastAsia" w:ascii="Times New Roman" w:hAnsi="Times New Roman"/>
                      <w:color w:val="auto"/>
                      <w:sz w:val="21"/>
                      <w:szCs w:val="21"/>
                      <w:lang w:bidi="ar"/>
                    </w:rPr>
                    <w:t>火化间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5</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悼念活动时高音喇叭、乐队奏乐以及人群哀悼等产生的噪声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70-85</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悼念区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6</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交通噪声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ascii="Times New Roman" w:hAnsi="Times New Roman"/>
                      <w:color w:val="auto"/>
                      <w:sz w:val="21"/>
                      <w:szCs w:val="21"/>
                      <w:lang w:bidi="ar"/>
                    </w:rPr>
                    <w:t>65-75</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停车场</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对各类噪声源采取以下措施：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①</w:t>
            </w:r>
            <w:r>
              <w:rPr>
                <w:rFonts w:hint="eastAsia"/>
                <w:bCs/>
                <w:color w:val="auto"/>
                <w:sz w:val="24"/>
              </w:rPr>
              <w:t>在设备选型时，类比同行业先进设备，尽量选用噪声小的设备；</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②</w:t>
            </w:r>
            <w:r>
              <w:rPr>
                <w:rFonts w:hint="eastAsia"/>
                <w:bCs/>
                <w:color w:val="auto"/>
                <w:sz w:val="24"/>
              </w:rPr>
              <w:t>各产躁设备进行基础减振，采取室内安装等措施；</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③</w:t>
            </w:r>
            <w:r>
              <w:rPr>
                <w:rFonts w:hint="eastAsia"/>
                <w:bCs/>
                <w:color w:val="auto"/>
                <w:sz w:val="24"/>
              </w:rPr>
              <w:t>进入厂区的车辆要限速行驶，禁止鸣笛；</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④控制悼念活动时高音喇叭、乐队奏乐时的噪声级</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（2）</w:t>
            </w:r>
            <w:r>
              <w:rPr>
                <w:rFonts w:hint="eastAsia" w:hAnsi="宋体"/>
                <w:b/>
                <w:color w:val="auto"/>
                <w:sz w:val="24"/>
                <w:szCs w:val="32"/>
              </w:rPr>
              <w:t>声环境影响预测与分析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本次评价采用《环境影响评价技术导则—声环境》（HJ/T2.4—2009）中推荐的工业噪声预测计算模式，具体如下：</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①室外点声源在预测点产生的声级计算公式</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已知声源的倍频带声功率级，预测点位置的倍频带声压级L</w:t>
            </w:r>
            <w:r>
              <w:rPr>
                <w:rFonts w:hint="eastAsia"/>
                <w:bCs/>
                <w:color w:val="auto"/>
                <w:sz w:val="24"/>
                <w:vertAlign w:val="subscript"/>
              </w:rPr>
              <w:t>p</w:t>
            </w:r>
            <w:r>
              <w:rPr>
                <w:rFonts w:hint="eastAsia"/>
                <w:bCs/>
                <w:color w:val="auto"/>
                <w:sz w:val="24"/>
              </w:rPr>
              <w:t>(r)可按下式计算：</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L</w:t>
            </w:r>
            <w:r>
              <w:rPr>
                <w:rFonts w:hint="eastAsia"/>
                <w:bCs/>
                <w:color w:val="auto"/>
                <w:sz w:val="24"/>
                <w:vertAlign w:val="subscript"/>
              </w:rPr>
              <w:t>p</w:t>
            </w:r>
            <w:r>
              <w:rPr>
                <w:rFonts w:hint="eastAsia"/>
                <w:bCs/>
                <w:color w:val="auto"/>
                <w:sz w:val="24"/>
              </w:rPr>
              <w:t>(r)= L</w:t>
            </w:r>
            <w:r>
              <w:rPr>
                <w:rFonts w:hint="eastAsia"/>
                <w:bCs/>
                <w:color w:val="auto"/>
                <w:sz w:val="24"/>
                <w:vertAlign w:val="subscript"/>
              </w:rPr>
              <w:t xml:space="preserve">w </w:t>
            </w:r>
            <w:r>
              <w:rPr>
                <w:rFonts w:hint="eastAsia"/>
                <w:bCs/>
                <w:color w:val="auto"/>
                <w:sz w:val="24"/>
              </w:rPr>
              <w:t>+ D</w:t>
            </w:r>
            <w:r>
              <w:rPr>
                <w:rFonts w:hint="eastAsia"/>
                <w:bCs/>
                <w:color w:val="auto"/>
                <w:sz w:val="24"/>
                <w:vertAlign w:val="subscript"/>
              </w:rPr>
              <w:t>c</w:t>
            </w:r>
            <w:r>
              <w:rPr>
                <w:rFonts w:hint="eastAsia"/>
                <w:bCs/>
                <w:color w:val="auto"/>
                <w:sz w:val="24"/>
              </w:rPr>
              <w:t>－(A</w:t>
            </w:r>
            <w:r>
              <w:rPr>
                <w:rFonts w:hint="eastAsia"/>
                <w:bCs/>
                <w:color w:val="auto"/>
                <w:sz w:val="24"/>
                <w:vertAlign w:val="subscript"/>
              </w:rPr>
              <w:t>div</w:t>
            </w:r>
            <w:r>
              <w:rPr>
                <w:rFonts w:hint="eastAsia"/>
                <w:bCs/>
                <w:color w:val="auto"/>
                <w:sz w:val="24"/>
              </w:rPr>
              <w:t>+A</w:t>
            </w:r>
            <w:r>
              <w:rPr>
                <w:rFonts w:hint="eastAsia"/>
                <w:bCs/>
                <w:color w:val="auto"/>
                <w:sz w:val="24"/>
                <w:vertAlign w:val="subscript"/>
              </w:rPr>
              <w:t>atm</w:t>
            </w:r>
            <w:r>
              <w:rPr>
                <w:rFonts w:hint="eastAsia"/>
                <w:bCs/>
                <w:color w:val="auto"/>
                <w:sz w:val="24"/>
              </w:rPr>
              <w:t>+A</w:t>
            </w:r>
            <w:r>
              <w:rPr>
                <w:rFonts w:hint="eastAsia"/>
                <w:bCs/>
                <w:color w:val="auto"/>
                <w:sz w:val="24"/>
                <w:vertAlign w:val="subscript"/>
              </w:rPr>
              <w:t>gr</w:t>
            </w:r>
            <w:r>
              <w:rPr>
                <w:rFonts w:hint="eastAsia"/>
                <w:bCs/>
                <w:color w:val="auto"/>
                <w:sz w:val="24"/>
              </w:rPr>
              <w:t>+A</w:t>
            </w:r>
            <w:r>
              <w:rPr>
                <w:rFonts w:hint="eastAsia"/>
                <w:bCs/>
                <w:color w:val="auto"/>
                <w:sz w:val="24"/>
                <w:vertAlign w:val="subscript"/>
              </w:rPr>
              <w:t>bar</w:t>
            </w:r>
            <w:r>
              <w:rPr>
                <w:rFonts w:hint="eastAsia"/>
                <w:bCs/>
                <w:color w:val="auto"/>
                <w:sz w:val="24"/>
              </w:rPr>
              <w:t>+A</w:t>
            </w:r>
            <w:r>
              <w:rPr>
                <w:rFonts w:hint="eastAsia"/>
                <w:bCs/>
                <w:color w:val="auto"/>
                <w:sz w:val="24"/>
                <w:vertAlign w:val="subscript"/>
              </w:rPr>
              <w:t>misc</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A</w:t>
            </w:r>
            <w:r>
              <w:rPr>
                <w:rFonts w:hint="eastAsia"/>
                <w:bCs/>
                <w:color w:val="auto"/>
                <w:sz w:val="24"/>
                <w:vertAlign w:val="subscript"/>
              </w:rPr>
              <w:t>div</w:t>
            </w:r>
            <w:r>
              <w:rPr>
                <w:rFonts w:hint="eastAsia"/>
                <w:bCs/>
                <w:color w:val="auto"/>
                <w:sz w:val="24"/>
              </w:rPr>
              <w:t>——几何发散引起的倍频带衰减，dB；</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A</w:t>
            </w:r>
            <w:r>
              <w:rPr>
                <w:rFonts w:hint="eastAsia"/>
                <w:bCs/>
                <w:color w:val="auto"/>
                <w:sz w:val="24"/>
                <w:vertAlign w:val="subscript"/>
              </w:rPr>
              <w:t>atm</w:t>
            </w:r>
            <w:r>
              <w:rPr>
                <w:rFonts w:hint="eastAsia"/>
                <w:bCs/>
                <w:color w:val="auto"/>
                <w:sz w:val="24"/>
              </w:rPr>
              <w:t>——大气吸收引起的倍频带衰减，dB；</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A</w:t>
            </w:r>
            <w:r>
              <w:rPr>
                <w:rFonts w:hint="eastAsia"/>
                <w:bCs/>
                <w:color w:val="auto"/>
                <w:sz w:val="24"/>
                <w:vertAlign w:val="subscript"/>
              </w:rPr>
              <w:t>g</w:t>
            </w:r>
            <w:r>
              <w:rPr>
                <w:rFonts w:hint="eastAsia"/>
                <w:bCs/>
                <w:color w:val="auto"/>
                <w:sz w:val="24"/>
              </w:rPr>
              <w:t>——地面效应引起的倍频带衰减，dB；</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A</w:t>
            </w:r>
            <w:r>
              <w:rPr>
                <w:rFonts w:hint="eastAsia"/>
                <w:bCs/>
                <w:color w:val="auto"/>
                <w:sz w:val="24"/>
                <w:vertAlign w:val="subscript"/>
              </w:rPr>
              <w:t>bar</w:t>
            </w:r>
            <w:r>
              <w:rPr>
                <w:rFonts w:hint="eastAsia"/>
                <w:bCs/>
                <w:color w:val="auto"/>
                <w:sz w:val="24"/>
              </w:rPr>
              <w:t>——声屏障引起的倍频带衰减，dB；</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A</w:t>
            </w:r>
            <w:r>
              <w:rPr>
                <w:rFonts w:hint="eastAsia"/>
                <w:bCs/>
                <w:color w:val="auto"/>
                <w:sz w:val="24"/>
                <w:vertAlign w:val="subscript"/>
              </w:rPr>
              <w:t>misc</w:t>
            </w:r>
            <w:r>
              <w:rPr>
                <w:rFonts w:hint="eastAsia"/>
                <w:bCs/>
                <w:color w:val="auto"/>
                <w:sz w:val="24"/>
              </w:rPr>
              <w:t>——其他多方面效应引起的倍频带衰减，dB；</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预测点的A声级L</w:t>
            </w:r>
            <w:r>
              <w:rPr>
                <w:rFonts w:hint="eastAsia"/>
                <w:bCs/>
                <w:color w:val="auto"/>
                <w:sz w:val="24"/>
                <w:vertAlign w:val="subscript"/>
              </w:rPr>
              <w:t>A</w:t>
            </w:r>
            <w:r>
              <w:rPr>
                <w:rFonts w:hint="eastAsia"/>
                <w:bCs/>
                <w:color w:val="auto"/>
                <w:sz w:val="24"/>
              </w:rPr>
              <w:t>(r)可利用8个倍频带的声压级按下式计算：</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L</w:t>
            </w:r>
            <w:r>
              <w:rPr>
                <w:rFonts w:hint="eastAsia"/>
                <w:bCs/>
                <w:color w:val="auto"/>
                <w:sz w:val="24"/>
                <w:vertAlign w:val="subscript"/>
              </w:rPr>
              <w:t>A</w:t>
            </w:r>
            <w:r>
              <w:rPr>
                <w:rFonts w:hint="eastAsia"/>
                <w:bCs/>
                <w:color w:val="auto"/>
                <w:sz w:val="24"/>
              </w:rPr>
              <w:t>(r)=10lg（∑10</w:t>
            </w:r>
            <w:r>
              <w:rPr>
                <w:rFonts w:hint="eastAsia"/>
                <w:bCs/>
                <w:color w:val="auto"/>
                <w:sz w:val="24"/>
                <w:vertAlign w:val="superscript"/>
              </w:rPr>
              <w:t>0.1Lpi(r)-</w:t>
            </w:r>
            <w:r>
              <w:rPr>
                <w:rFonts w:hint="eastAsia"/>
                <w:bCs/>
                <w:color w:val="auto"/>
                <w:sz w:val="24"/>
              </w:rPr>
              <w:t xml:space="preserve"> </w:t>
            </w:r>
            <w:r>
              <w:rPr>
                <w:rFonts w:hint="eastAsia" w:ascii="微软雅黑" w:hAnsi="微软雅黑" w:eastAsia="微软雅黑" w:cs="微软雅黑"/>
                <w:bCs/>
                <w:color w:val="auto"/>
                <w:sz w:val="24"/>
                <w:vertAlign w:val="superscript"/>
              </w:rPr>
              <w:t>∆</w:t>
            </w:r>
            <w:r>
              <w:rPr>
                <w:rFonts w:hint="eastAsia"/>
                <w:bCs/>
                <w:color w:val="auto"/>
                <w:sz w:val="24"/>
                <w:vertAlign w:val="superscript"/>
              </w:rPr>
              <w:t>Li</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③噪声贡献值计算</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设第i个室外声源在预测点产生的A声级为L</w:t>
            </w:r>
            <w:r>
              <w:rPr>
                <w:rFonts w:hint="eastAsia"/>
                <w:bCs/>
                <w:color w:val="auto"/>
                <w:sz w:val="24"/>
                <w:vertAlign w:val="subscript"/>
              </w:rPr>
              <w:t>Ai</w:t>
            </w:r>
            <w:r>
              <w:rPr>
                <w:rFonts w:hint="eastAsia"/>
                <w:bCs/>
                <w:color w:val="auto"/>
                <w:sz w:val="24"/>
              </w:rPr>
              <w:t>，在T时间内该声源工作时间为t</w:t>
            </w:r>
            <w:r>
              <w:rPr>
                <w:rFonts w:hint="eastAsia"/>
                <w:bCs/>
                <w:color w:val="auto"/>
                <w:sz w:val="24"/>
                <w:vertAlign w:val="subscript"/>
              </w:rPr>
              <w:t>i</w:t>
            </w:r>
            <w:r>
              <w:rPr>
                <w:rFonts w:hint="eastAsia"/>
                <w:bCs/>
                <w:color w:val="auto"/>
                <w:sz w:val="24"/>
              </w:rPr>
              <w:t>；第j个等效室外声源在预测点产生的A声级为L</w:t>
            </w:r>
            <w:r>
              <w:rPr>
                <w:rFonts w:hint="eastAsia"/>
                <w:bCs/>
                <w:color w:val="auto"/>
                <w:sz w:val="24"/>
                <w:vertAlign w:val="subscript"/>
              </w:rPr>
              <w:t>Aj</w:t>
            </w:r>
            <w:r>
              <w:rPr>
                <w:rFonts w:hint="eastAsia"/>
                <w:bCs/>
                <w:color w:val="auto"/>
                <w:sz w:val="24"/>
              </w:rPr>
              <w:t>，在T时间内该声源工作时间为t</w:t>
            </w:r>
            <w:r>
              <w:rPr>
                <w:rFonts w:hint="eastAsia"/>
                <w:bCs/>
                <w:color w:val="auto"/>
                <w:sz w:val="24"/>
                <w:vertAlign w:val="subscript"/>
              </w:rPr>
              <w:t>j</w:t>
            </w:r>
            <w:r>
              <w:rPr>
                <w:rFonts w:hint="eastAsia"/>
                <w:bCs/>
                <w:color w:val="auto"/>
                <w:sz w:val="24"/>
              </w:rPr>
              <w:t>，则拟建工程声源对预测点产生的贡献值（L</w:t>
            </w:r>
            <w:r>
              <w:rPr>
                <w:rFonts w:hint="eastAsia"/>
                <w:bCs/>
                <w:color w:val="auto"/>
                <w:sz w:val="24"/>
                <w:vertAlign w:val="subscript"/>
              </w:rPr>
              <w:t>eqg</w:t>
            </w:r>
            <w:r>
              <w:rPr>
                <w:rFonts w:hint="eastAsia"/>
                <w:bCs/>
                <w:color w:val="auto"/>
                <w:sz w:val="24"/>
              </w:rPr>
              <w:t>）为：</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L</w:t>
            </w:r>
            <w:r>
              <w:rPr>
                <w:rFonts w:hint="eastAsia"/>
                <w:bCs/>
                <w:color w:val="auto"/>
                <w:sz w:val="24"/>
                <w:vertAlign w:val="subscript"/>
              </w:rPr>
              <w:t>eqg</w:t>
            </w:r>
            <w:r>
              <w:rPr>
                <w:rFonts w:hint="eastAsia"/>
                <w:bCs/>
                <w:color w:val="auto"/>
                <w:sz w:val="24"/>
              </w:rPr>
              <w:t>=10lg[1/T（∑t</w:t>
            </w:r>
            <w:r>
              <w:rPr>
                <w:rFonts w:hint="eastAsia"/>
                <w:bCs/>
                <w:color w:val="auto"/>
                <w:sz w:val="24"/>
                <w:vertAlign w:val="subscript"/>
              </w:rPr>
              <w:t>i</w:t>
            </w:r>
            <w:r>
              <w:rPr>
                <w:rFonts w:hint="eastAsia"/>
                <w:bCs/>
                <w:color w:val="auto"/>
                <w:sz w:val="24"/>
              </w:rPr>
              <w:t>10</w:t>
            </w:r>
            <w:r>
              <w:rPr>
                <w:rFonts w:hint="eastAsia"/>
                <w:bCs/>
                <w:color w:val="auto"/>
                <w:sz w:val="24"/>
                <w:vertAlign w:val="superscript"/>
              </w:rPr>
              <w:t>0.1LAi</w:t>
            </w:r>
            <w:r>
              <w:rPr>
                <w:rFonts w:hint="eastAsia"/>
                <w:bCs/>
                <w:color w:val="auto"/>
                <w:sz w:val="24"/>
              </w:rPr>
              <w:t>+∑t</w:t>
            </w:r>
            <w:r>
              <w:rPr>
                <w:rFonts w:hint="eastAsia"/>
                <w:bCs/>
                <w:color w:val="auto"/>
                <w:sz w:val="24"/>
                <w:vertAlign w:val="subscript"/>
              </w:rPr>
              <w:t>j</w:t>
            </w:r>
            <w:r>
              <w:rPr>
                <w:rFonts w:hint="eastAsia"/>
                <w:bCs/>
                <w:color w:val="auto"/>
                <w:sz w:val="24"/>
              </w:rPr>
              <w:t>10</w:t>
            </w:r>
            <w:r>
              <w:rPr>
                <w:rFonts w:hint="eastAsia"/>
                <w:bCs/>
                <w:color w:val="auto"/>
                <w:sz w:val="24"/>
                <w:vertAlign w:val="superscript"/>
              </w:rPr>
              <w:t>0.1LAj</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式中：t</w:t>
            </w:r>
            <w:r>
              <w:rPr>
                <w:rFonts w:hint="eastAsia"/>
                <w:bCs/>
                <w:color w:val="auto"/>
                <w:sz w:val="24"/>
                <w:vertAlign w:val="subscript"/>
              </w:rPr>
              <w:t>j</w:t>
            </w:r>
            <w:r>
              <w:rPr>
                <w:rFonts w:hint="eastAsia"/>
                <w:bCs/>
                <w:color w:val="auto"/>
                <w:sz w:val="24"/>
              </w:rPr>
              <w:t>——在T时间内j声源工作时间，s；</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 xml:space="preserve">      t</w:t>
            </w:r>
            <w:r>
              <w:rPr>
                <w:rFonts w:hint="eastAsia"/>
                <w:bCs/>
                <w:color w:val="auto"/>
                <w:sz w:val="24"/>
                <w:vertAlign w:val="subscript"/>
              </w:rPr>
              <w:t>i</w:t>
            </w:r>
            <w:r>
              <w:rPr>
                <w:rFonts w:hint="eastAsia"/>
                <w:bCs/>
                <w:color w:val="auto"/>
                <w:sz w:val="24"/>
              </w:rPr>
              <w:t>——在T时间内i声源工作时间，s；</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 xml:space="preserve">      T——用于计算等效声级的时间，s；</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 xml:space="preserve">      N——室外声源个数；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 xml:space="preserve">      M——等效室外声源个数。</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根据本项目工程噪声源的分布，对厂区四周边界噪声排放量进行了预测计算，预测结果见下表</w:t>
            </w:r>
            <w:r>
              <w:rPr>
                <w:rFonts w:hint="eastAsia"/>
                <w:bCs/>
                <w:color w:val="auto"/>
                <w:sz w:val="24"/>
                <w:lang w:eastAsia="zh-CN"/>
              </w:rPr>
              <w:t>，噪声等值线分布图</w:t>
            </w:r>
            <w:r>
              <w:rPr>
                <w:rFonts w:hint="eastAsia"/>
                <w:bCs/>
                <w:color w:val="auto"/>
                <w:sz w:val="24"/>
                <w:lang w:val="en-US" w:eastAsia="zh-CN"/>
              </w:rPr>
              <w:t>见图4-5</w:t>
            </w:r>
            <w:r>
              <w:rPr>
                <w:rFonts w:hint="eastAsia"/>
                <w:bCs/>
                <w:color w:val="auto"/>
                <w:sz w:val="24"/>
              </w:rPr>
              <w:t>。</w:t>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bCs/>
                <w:color w:val="auto"/>
                <w:sz w:val="24"/>
              </w:rPr>
            </w:pPr>
            <w:r>
              <w:rPr>
                <w:rFonts w:hint="eastAsia" w:ascii="黑体" w:hAnsi="黑体" w:eastAsia="黑体"/>
                <w:bCs/>
                <w:color w:val="auto"/>
                <w:sz w:val="24"/>
              </w:rPr>
              <w:t>表4-</w:t>
            </w:r>
            <w:r>
              <w:rPr>
                <w:rFonts w:hint="eastAsia" w:ascii="黑体" w:hAnsi="黑体" w:eastAsia="黑体"/>
                <w:bCs/>
                <w:color w:val="auto"/>
                <w:sz w:val="24"/>
                <w:lang w:val="en-US" w:eastAsia="zh-CN"/>
              </w:rPr>
              <w:t xml:space="preserve">23 </w:t>
            </w:r>
            <w:r>
              <w:rPr>
                <w:rFonts w:hint="eastAsia" w:ascii="黑体" w:hAnsi="黑体" w:eastAsia="黑体"/>
                <w:bCs/>
                <w:color w:val="auto"/>
                <w:sz w:val="24"/>
              </w:rPr>
              <w:t xml:space="preserve"> 项目噪声预测结果  dB（A）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2034"/>
              <w:gridCol w:w="1631"/>
              <w:gridCol w:w="1631"/>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时间</w:t>
                  </w:r>
                </w:p>
              </w:tc>
              <w:tc>
                <w:tcPr>
                  <w:tcW w:w="1190"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预测点位</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贡献值</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标准值</w:t>
                  </w:r>
                </w:p>
              </w:tc>
              <w:tc>
                <w:tcPr>
                  <w:tcW w:w="1185"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Merge w:val="restar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昼间</w:t>
                  </w:r>
                </w:p>
              </w:tc>
              <w:tc>
                <w:tcPr>
                  <w:tcW w:w="1190"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场界北侧</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44.5</w:t>
                  </w:r>
                </w:p>
              </w:tc>
              <w:tc>
                <w:tcPr>
                  <w:tcW w:w="954" w:type="pct"/>
                  <w:vMerge w:val="restar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60</w:t>
                  </w:r>
                </w:p>
              </w:tc>
              <w:tc>
                <w:tcPr>
                  <w:tcW w:w="1185"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90"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场界东侧</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43.1</w:t>
                  </w:r>
                </w:p>
              </w:tc>
              <w:tc>
                <w:tcPr>
                  <w:tcW w:w="954"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85"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90"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场界南侧</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47.5</w:t>
                  </w:r>
                </w:p>
              </w:tc>
              <w:tc>
                <w:tcPr>
                  <w:tcW w:w="954"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85"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90"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场界西侧</w:t>
                  </w:r>
                </w:p>
              </w:tc>
              <w:tc>
                <w:tcPr>
                  <w:tcW w:w="954"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4</w:t>
                  </w:r>
                  <w:r>
                    <w:rPr>
                      <w:rFonts w:hint="eastAsia" w:hAnsi="宋体"/>
                      <w:color w:val="auto"/>
                      <w:sz w:val="21"/>
                      <w:szCs w:val="21"/>
                      <w:lang w:val="en-US" w:eastAsia="zh-CN"/>
                    </w:rPr>
                    <w:t>3</w:t>
                  </w:r>
                  <w:r>
                    <w:rPr>
                      <w:rFonts w:hint="eastAsia" w:hAnsi="宋体"/>
                      <w:color w:val="auto"/>
                      <w:sz w:val="21"/>
                      <w:szCs w:val="21"/>
                    </w:rPr>
                    <w:t>.8</w:t>
                  </w:r>
                </w:p>
              </w:tc>
              <w:tc>
                <w:tcPr>
                  <w:tcW w:w="954" w:type="pct"/>
                  <w:vMerge w:val="continue"/>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p>
              </w:tc>
              <w:tc>
                <w:tcPr>
                  <w:tcW w:w="1185"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color w:val="auto"/>
                      <w:sz w:val="21"/>
                      <w:szCs w:val="21"/>
                    </w:rPr>
                  </w:pPr>
                  <w:r>
                    <w:rPr>
                      <w:rFonts w:hint="eastAsia" w:hAnsi="宋体"/>
                      <w:color w:val="auto"/>
                      <w:sz w:val="21"/>
                      <w:szCs w:val="21"/>
                    </w:rPr>
                    <w:t>达标</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由表4-</w:t>
            </w:r>
            <w:r>
              <w:rPr>
                <w:rFonts w:hint="eastAsia"/>
                <w:bCs/>
                <w:color w:val="auto"/>
                <w:sz w:val="24"/>
                <w:lang w:val="en-US" w:eastAsia="zh-CN"/>
              </w:rPr>
              <w:t>19</w:t>
            </w:r>
            <w:r>
              <w:rPr>
                <w:rFonts w:hint="eastAsia"/>
                <w:bCs/>
                <w:color w:val="auto"/>
                <w:sz w:val="24"/>
              </w:rPr>
              <w:t>中噪声预测结果可知：</w:t>
            </w:r>
            <w:bookmarkStart w:id="6" w:name="OLE_LINK10"/>
            <w:r>
              <w:rPr>
                <w:rFonts w:hint="eastAsia"/>
                <w:bCs/>
                <w:color w:val="auto"/>
                <w:sz w:val="24"/>
              </w:rPr>
              <w:t>场界贡献值范围在4</w:t>
            </w:r>
            <w:r>
              <w:rPr>
                <w:rFonts w:hint="eastAsia"/>
                <w:bCs/>
                <w:color w:val="auto"/>
                <w:sz w:val="24"/>
                <w:lang w:val="en-US" w:eastAsia="zh-CN"/>
              </w:rPr>
              <w:t>3.1</w:t>
            </w:r>
            <w:r>
              <w:rPr>
                <w:rFonts w:hint="eastAsia"/>
                <w:bCs/>
                <w:color w:val="auto"/>
                <w:sz w:val="24"/>
              </w:rPr>
              <w:t>～47.5dB(A)，</w:t>
            </w:r>
            <w:bookmarkEnd w:id="6"/>
            <w:r>
              <w:rPr>
                <w:rFonts w:hint="eastAsia"/>
                <w:bCs/>
                <w:color w:val="auto"/>
                <w:sz w:val="24"/>
              </w:rPr>
              <w:t>场界噪声贡献值均未超过《工业企业厂界环境噪声排放标准》(GB12348-2008)中2类标准值。因此，本项目在采取环评规定的噪声治理措施后，厂界噪声增加值较小，对厂界及噪声敏感点声环境影响较小。</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声环境监测计划：</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根据《排污单位自行监测技术指南 总则》（HJ 819-2017），</w:t>
            </w:r>
            <w:r>
              <w:rPr>
                <w:rFonts w:hint="eastAsia"/>
                <w:bCs/>
                <w:color w:val="auto"/>
                <w:sz w:val="24"/>
              </w:rPr>
              <w:t>本项目声环境监测内容见下表。</w:t>
            </w:r>
          </w:p>
          <w:p>
            <w:pPr>
              <w:keepNext w:val="0"/>
              <w:keepLines w:val="0"/>
              <w:suppressLineNumbers w:val="0"/>
              <w:spacing w:before="0" w:beforeAutospacing="0" w:after="0" w:afterAutospacing="0" w:line="480" w:lineRule="exact"/>
              <w:ind w:left="0" w:right="0"/>
              <w:jc w:val="center"/>
              <w:rPr>
                <w:rFonts w:hint="eastAsia" w:ascii="黑体" w:hAnsi="黑体" w:eastAsia="黑体"/>
                <w:color w:val="auto"/>
                <w:kern w:val="0"/>
                <w:sz w:val="24"/>
                <w:szCs w:val="32"/>
              </w:rPr>
            </w:pPr>
            <w:r>
              <w:rPr>
                <w:rFonts w:hint="eastAsia" w:ascii="黑体" w:hAnsi="黑体" w:eastAsia="黑体"/>
                <w:color w:val="auto"/>
                <w:kern w:val="0"/>
                <w:sz w:val="24"/>
                <w:szCs w:val="32"/>
              </w:rPr>
              <w:t>表</w:t>
            </w:r>
            <w:r>
              <w:rPr>
                <w:rFonts w:hint="eastAsia" w:ascii="黑体" w:hAnsi="黑体" w:eastAsia="黑体"/>
                <w:bCs/>
                <w:color w:val="auto"/>
                <w:sz w:val="24"/>
                <w:szCs w:val="32"/>
              </w:rPr>
              <w:t>4-</w:t>
            </w:r>
            <w:r>
              <w:rPr>
                <w:rFonts w:hint="eastAsia" w:ascii="黑体" w:hAnsi="黑体" w:eastAsia="黑体"/>
                <w:bCs/>
                <w:color w:val="auto"/>
                <w:sz w:val="24"/>
                <w:szCs w:val="32"/>
                <w:lang w:val="en-US" w:eastAsia="zh-CN"/>
              </w:rPr>
              <w:t>24</w:t>
            </w:r>
            <w:r>
              <w:rPr>
                <w:rFonts w:hint="eastAsia" w:ascii="黑体" w:hAnsi="黑体" w:eastAsia="黑体"/>
                <w:bCs/>
                <w:color w:val="auto"/>
                <w:sz w:val="24"/>
                <w:szCs w:val="32"/>
              </w:rPr>
              <w:t xml:space="preserve"> </w:t>
            </w:r>
            <w:r>
              <w:rPr>
                <w:rFonts w:hint="eastAsia" w:ascii="黑体" w:hAnsi="黑体" w:eastAsia="黑体"/>
                <w:color w:val="auto"/>
                <w:kern w:val="0"/>
                <w:sz w:val="24"/>
                <w:szCs w:val="32"/>
              </w:rPr>
              <w:t xml:space="preserve"> 噪声监测方案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849"/>
              <w:gridCol w:w="2345"/>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监测点位</w:t>
                  </w:r>
                </w:p>
              </w:tc>
              <w:tc>
                <w:tcPr>
                  <w:tcW w:w="1082"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监测指标</w:t>
                  </w:r>
                </w:p>
              </w:tc>
              <w:tc>
                <w:tcPr>
                  <w:tcW w:w="1372"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监测频次</w:t>
                  </w:r>
                </w:p>
              </w:tc>
              <w:tc>
                <w:tcPr>
                  <w:tcW w:w="1831"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厂界</w:t>
                  </w:r>
                </w:p>
              </w:tc>
              <w:tc>
                <w:tcPr>
                  <w:tcW w:w="1082"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zCs w:val="21"/>
                    </w:rPr>
                    <w:t>Leq，同时统计L</w:t>
                  </w:r>
                  <w:r>
                    <w:rPr>
                      <w:rFonts w:hint="eastAsia"/>
                      <w:color w:val="auto"/>
                      <w:szCs w:val="21"/>
                      <w:vertAlign w:val="subscript"/>
                    </w:rPr>
                    <w:t>10</w:t>
                  </w:r>
                  <w:r>
                    <w:rPr>
                      <w:rFonts w:hint="eastAsia"/>
                      <w:color w:val="auto"/>
                      <w:szCs w:val="21"/>
                    </w:rPr>
                    <w:t>、L</w:t>
                  </w:r>
                  <w:r>
                    <w:rPr>
                      <w:rFonts w:hint="eastAsia"/>
                      <w:color w:val="auto"/>
                      <w:szCs w:val="21"/>
                      <w:vertAlign w:val="subscript"/>
                    </w:rPr>
                    <w:t>50</w:t>
                  </w:r>
                  <w:r>
                    <w:rPr>
                      <w:rFonts w:hint="eastAsia"/>
                      <w:color w:val="auto"/>
                      <w:szCs w:val="21"/>
                    </w:rPr>
                    <w:t>、L</w:t>
                  </w:r>
                  <w:r>
                    <w:rPr>
                      <w:rFonts w:hint="eastAsia"/>
                      <w:color w:val="auto"/>
                      <w:szCs w:val="21"/>
                      <w:vertAlign w:val="subscript"/>
                    </w:rPr>
                    <w:t>90</w:t>
                  </w:r>
                </w:p>
              </w:tc>
              <w:tc>
                <w:tcPr>
                  <w:tcW w:w="1372" w:type="pct"/>
                  <w:vAlign w:val="center"/>
                </w:tcPr>
                <w:p>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spacing w:val="4"/>
                      <w:szCs w:val="21"/>
                    </w:rPr>
                    <w:t>每季度进行一次监测，每次昼夜各监测一次</w:t>
                  </w:r>
                </w:p>
              </w:tc>
              <w:tc>
                <w:tcPr>
                  <w:tcW w:w="1831" w:type="pct"/>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szCs w:val="21"/>
                    </w:rPr>
                    <w:t>《工业企业厂界环境噪声排放标准》（GB12348-2008）中2类</w:t>
                  </w:r>
                </w:p>
              </w:tc>
            </w:tr>
          </w:tbl>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eastAsia"/>
                <w:bCs/>
                <w:color w:val="auto"/>
                <w:sz w:val="24"/>
              </w:rPr>
            </w:pPr>
            <w:r>
              <w:rPr>
                <w:rFonts w:hint="eastAsia"/>
                <w:color w:val="auto"/>
              </w:rPr>
              <w:drawing>
                <wp:inline distT="0" distB="0" distL="114300" distR="114300">
                  <wp:extent cx="3789680" cy="5271770"/>
                  <wp:effectExtent l="0" t="0" r="1270" b="5080"/>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32"/>
                          <a:srcRect l="15502" t="12839" r="10955" b="13854"/>
                          <a:stretch>
                            <a:fillRect/>
                          </a:stretch>
                        </pic:blipFill>
                        <pic:spPr>
                          <a:xfrm>
                            <a:off x="0" y="0"/>
                            <a:ext cx="3789680" cy="527177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480" w:lineRule="exact"/>
              <w:ind w:left="0" w:right="0"/>
              <w:jc w:val="center"/>
              <w:rPr>
                <w:rFonts w:hint="eastAsia" w:ascii="黑体" w:hAnsi="黑体" w:eastAsia="黑体"/>
                <w:color w:val="auto"/>
                <w:sz w:val="24"/>
              </w:rPr>
            </w:pPr>
            <w:r>
              <w:rPr>
                <w:rFonts w:hint="eastAsia" w:ascii="黑体" w:hAnsi="黑体" w:eastAsia="黑体"/>
                <w:color w:val="auto"/>
                <w:sz w:val="24"/>
              </w:rPr>
              <w:t>图4-</w:t>
            </w:r>
            <w:r>
              <w:rPr>
                <w:rFonts w:hint="eastAsia" w:ascii="黑体" w:hAnsi="黑体" w:eastAsia="黑体"/>
                <w:color w:val="auto"/>
                <w:sz w:val="24"/>
                <w:lang w:val="en-US" w:eastAsia="zh-CN"/>
              </w:rPr>
              <w:t>5</w:t>
            </w:r>
            <w:r>
              <w:rPr>
                <w:rFonts w:hint="eastAsia" w:ascii="黑体" w:hAnsi="黑体" w:eastAsia="黑体"/>
                <w:color w:val="auto"/>
                <w:sz w:val="24"/>
              </w:rPr>
              <w:t xml:space="preserve">  噪声等值线分布图</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5、运营期</w:t>
            </w:r>
            <w:r>
              <w:rPr>
                <w:rFonts w:hint="eastAsia"/>
                <w:b/>
                <w:color w:val="auto"/>
                <w:sz w:val="24"/>
              </w:rPr>
              <w:t>生态影响分析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项目拟建场址位于山西省忻州市五台县</w:t>
            </w:r>
            <w:r>
              <w:rPr>
                <w:rFonts w:hint="eastAsia"/>
                <w:color w:val="auto"/>
                <w:sz w:val="24"/>
                <w:lang w:val="en-US" w:eastAsia="zh-CN"/>
              </w:rPr>
              <w:t>沟南</w:t>
            </w:r>
            <w:r>
              <w:rPr>
                <w:rFonts w:hint="eastAsia"/>
                <w:color w:val="auto"/>
                <w:sz w:val="24"/>
              </w:rPr>
              <w:t>乡</w:t>
            </w:r>
            <w:r>
              <w:rPr>
                <w:rFonts w:hint="eastAsia"/>
                <w:color w:val="auto"/>
                <w:sz w:val="24"/>
                <w:lang w:val="en-US" w:eastAsia="zh-CN"/>
              </w:rPr>
              <w:t>南山</w:t>
            </w:r>
            <w:r>
              <w:rPr>
                <w:rFonts w:hint="eastAsia"/>
                <w:color w:val="auto"/>
                <w:sz w:val="24"/>
              </w:rPr>
              <w:t>村，拟建场址占地面积</w:t>
            </w:r>
            <w:r>
              <w:rPr>
                <w:rFonts w:hint="eastAsia"/>
                <w:color w:val="auto"/>
                <w:sz w:val="24"/>
                <w:lang w:val="en-US" w:eastAsia="zh-CN"/>
              </w:rPr>
              <w:t>23123</w:t>
            </w:r>
            <w:r>
              <w:rPr>
                <w:rFonts w:hint="eastAsia"/>
                <w:color w:val="auto"/>
                <w:sz w:val="24"/>
              </w:rPr>
              <w:t>m</w:t>
            </w:r>
            <w:r>
              <w:rPr>
                <w:rFonts w:hint="eastAsia"/>
                <w:color w:val="auto"/>
                <w:sz w:val="24"/>
                <w:vertAlign w:val="superscript"/>
              </w:rPr>
              <w:t>2</w:t>
            </w:r>
            <w:r>
              <w:rPr>
                <w:rFonts w:hint="eastAsia"/>
                <w:color w:val="auto"/>
                <w:sz w:val="24"/>
                <w:lang w:eastAsia="zh-CN"/>
              </w:rPr>
              <w:t>，</w:t>
            </w:r>
            <w:r>
              <w:rPr>
                <w:rFonts w:hint="eastAsia"/>
                <w:color w:val="auto"/>
                <w:sz w:val="24"/>
              </w:rPr>
              <w:t>拟建场址四周</w:t>
            </w:r>
            <w:r>
              <w:rPr>
                <w:rFonts w:hint="eastAsia"/>
                <w:color w:val="auto"/>
                <w:sz w:val="24"/>
                <w:lang w:val="en-US" w:eastAsia="zh-CN"/>
              </w:rPr>
              <w:t>荒山及耕地</w:t>
            </w:r>
            <w:r>
              <w:rPr>
                <w:rFonts w:hint="eastAsia"/>
                <w:color w:val="auto"/>
                <w:sz w:val="24"/>
              </w:rPr>
              <w:t>。</w:t>
            </w:r>
            <w:r>
              <w:rPr>
                <w:rFonts w:hint="eastAsia"/>
                <w:color w:val="auto"/>
                <w:spacing w:val="4"/>
                <w:sz w:val="24"/>
              </w:rPr>
              <w:t>项目附近以农业生态环境为主。</w:t>
            </w:r>
            <w:r>
              <w:rPr>
                <w:rFonts w:hint="eastAsia"/>
                <w:color w:val="auto"/>
                <w:sz w:val="24"/>
              </w:rPr>
              <w:t>项目四周植被类型比较单一，自然环境一般，主要是农业生态环境为主，无天然林及珍稀植被。</w:t>
            </w:r>
            <w:r>
              <w:rPr>
                <w:rFonts w:hint="eastAsia"/>
                <w:color w:val="auto"/>
                <w:spacing w:val="4"/>
                <w:sz w:val="24"/>
              </w:rPr>
              <w:t>因此</w:t>
            </w:r>
            <w:r>
              <w:rPr>
                <w:rFonts w:hint="eastAsia"/>
                <w:color w:val="auto"/>
                <w:sz w:val="24"/>
              </w:rPr>
              <w:t>区域内生物多样性程度较低，无需要特殊保护的动植物资源。</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6、环境风险</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本项目依据《建设项目环境风险评价技术导则》(HJ 169-2018)，对项目进行环境风险评价。</w:t>
            </w:r>
          </w:p>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（1）环境风险识别</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本项目遗体火化使用燃料为轻质柴油，此外备用发电机以及遗物祭品焚烧引燃、助燃消耗少量的柴油；本项目拟在靠近火化间的</w:t>
            </w:r>
            <w:r>
              <w:rPr>
                <w:rFonts w:hint="eastAsia"/>
                <w:color w:val="auto"/>
                <w:sz w:val="24"/>
                <w:lang w:val="en-US" w:eastAsia="zh-CN"/>
              </w:rPr>
              <w:t>西</w:t>
            </w:r>
            <w:r>
              <w:rPr>
                <w:rFonts w:hint="eastAsia"/>
                <w:color w:val="auto"/>
                <w:sz w:val="24"/>
              </w:rPr>
              <w:t>侧空地修建柴油储罐区，配套一个地埋式柴油储罐，最大存储量为10t。柴油运输由有资质的专业运输公司承担，因此本环评不考虑运输风险。柴油理化特性见</w:t>
            </w:r>
            <w:r>
              <w:rPr>
                <w:rFonts w:hint="eastAsia"/>
                <w:color w:val="auto"/>
                <w:sz w:val="24"/>
                <w:lang w:val="en-US" w:eastAsia="zh-CN"/>
              </w:rPr>
              <w:t>下</w:t>
            </w:r>
            <w:r>
              <w:rPr>
                <w:rFonts w:hint="eastAsia"/>
                <w:color w:val="auto"/>
                <w:sz w:val="24"/>
              </w:rPr>
              <w:t>表。</w:t>
            </w:r>
          </w:p>
          <w:p>
            <w:pPr>
              <w:pStyle w:val="56"/>
              <w:keepNext w:val="0"/>
              <w:keepLines w:val="0"/>
              <w:suppressLineNumbers w:val="0"/>
              <w:wordWrap w:val="0"/>
              <w:spacing w:before="0" w:beforeAutospacing="0" w:after="0" w:afterAutospacing="0" w:line="480" w:lineRule="exact"/>
              <w:ind w:left="0" w:right="0"/>
              <w:rPr>
                <w:rFonts w:hint="eastAsia" w:ascii="黑体" w:hAnsi="黑体" w:eastAsia="黑体"/>
                <w:b w:val="0"/>
                <w:bCs/>
                <w:color w:val="auto"/>
                <w:sz w:val="24"/>
                <w:szCs w:val="32"/>
              </w:rPr>
            </w:pPr>
            <w:r>
              <w:rPr>
                <w:rFonts w:hint="eastAsia" w:ascii="黑体" w:hAnsi="黑体" w:eastAsia="黑体"/>
                <w:b w:val="0"/>
                <w:bCs/>
                <w:color w:val="auto"/>
                <w:sz w:val="24"/>
                <w:szCs w:val="32"/>
                <w:lang w:val="en-US" w:eastAsia="zh-CN"/>
              </w:rPr>
              <w:t>表</w:t>
            </w:r>
            <w:r>
              <w:rPr>
                <w:rFonts w:hint="eastAsia" w:ascii="黑体" w:hAnsi="黑体" w:eastAsia="黑体"/>
                <w:b w:val="0"/>
                <w:bCs/>
                <w:color w:val="auto"/>
                <w:sz w:val="24"/>
                <w:szCs w:val="32"/>
              </w:rPr>
              <w:t>4-</w:t>
            </w:r>
            <w:r>
              <w:rPr>
                <w:rFonts w:hint="eastAsia" w:ascii="黑体" w:hAnsi="黑体" w:eastAsia="黑体"/>
                <w:b w:val="0"/>
                <w:bCs/>
                <w:color w:val="auto"/>
                <w:sz w:val="24"/>
                <w:szCs w:val="32"/>
                <w:lang w:val="en-US" w:eastAsia="zh-CN"/>
              </w:rPr>
              <w:t xml:space="preserve">25 </w:t>
            </w:r>
            <w:r>
              <w:rPr>
                <w:rFonts w:hint="eastAsia" w:ascii="黑体" w:hAnsi="黑体" w:eastAsia="黑体"/>
                <w:b w:val="0"/>
                <w:bCs/>
                <w:color w:val="auto"/>
                <w:sz w:val="24"/>
                <w:szCs w:val="32"/>
              </w:rPr>
              <w:t xml:space="preserve"> 柴油理化特性表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509"/>
              <w:gridCol w:w="983"/>
              <w:gridCol w:w="2294"/>
              <w:gridCol w:w="309"/>
              <w:gridCol w:w="1309"/>
              <w:gridCol w:w="321"/>
              <w:gridCol w:w="28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7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物料名称</w:t>
                  </w:r>
                </w:p>
              </w:tc>
              <w:tc>
                <w:tcPr>
                  <w:tcW w:w="152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柴油</w:t>
                  </w:r>
                </w:p>
              </w:tc>
              <w:tc>
                <w:tcPr>
                  <w:tcW w:w="954"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CAS号</w:t>
                  </w:r>
                </w:p>
              </w:tc>
              <w:tc>
                <w:tcPr>
                  <w:tcW w:w="1651"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68334-30-5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7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危险性类别</w:t>
                  </w:r>
                </w:p>
              </w:tc>
              <w:tc>
                <w:tcPr>
                  <w:tcW w:w="152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易燃液体</w:t>
                  </w:r>
                </w:p>
              </w:tc>
              <w:tc>
                <w:tcPr>
                  <w:tcW w:w="954"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火险类别</w:t>
                  </w:r>
                </w:p>
              </w:tc>
              <w:tc>
                <w:tcPr>
                  <w:tcW w:w="1651"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乙B或丙A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7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UN号</w:t>
                  </w:r>
                </w:p>
              </w:tc>
              <w:tc>
                <w:tcPr>
                  <w:tcW w:w="1523"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1202</w:t>
                  </w:r>
                </w:p>
              </w:tc>
              <w:tc>
                <w:tcPr>
                  <w:tcW w:w="954"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外观性状</w:t>
                  </w:r>
                </w:p>
              </w:tc>
              <w:tc>
                <w:tcPr>
                  <w:tcW w:w="1651"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稍有粘性的浅黄至棕色液体。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restart"/>
                  <w:textDirection w:val="tbRlV"/>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燃 烧 爆 炸 危 险</w:t>
                  </w: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闪点℃</w:t>
                  </w:r>
                </w:p>
              </w:tc>
              <w:tc>
                <w:tcPr>
                  <w:tcW w:w="1342"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＜65</w:t>
                  </w:r>
                </w:p>
              </w:tc>
              <w:tc>
                <w:tcPr>
                  <w:tcW w:w="947"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自燃点℃</w:t>
                  </w:r>
                </w:p>
              </w:tc>
              <w:tc>
                <w:tcPr>
                  <w:tcW w:w="1838" w:type="pct"/>
                  <w:gridSpan w:val="2"/>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350~380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稳定性</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稳定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危险</w:t>
                  </w:r>
                </w:p>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特性</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健康</w:t>
                  </w:r>
                </w:p>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危害</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本品对皮肤粘膜有刺激作用。皮肤接触柴油可引起接触性皮炎、油性痤疮。吸入柴油雾滴可引起吸入性肺炎。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restar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急救措施</w:t>
                  </w: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皮肤接触</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脱去污染的衣着，用肥皂水及清水彻底冲洗。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眼睛接触</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立即翻开上下眼睑，用流动清水或生理盐水冲洗至少15min。就医。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吸入</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迅速脱离现场至空气新鲜处，保持呼吸通畅，保暖并休息。呼吸困难时给予输氧。呼吸停止时，立即进行人工呼吸。就医。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p>
              </w:tc>
              <w:tc>
                <w:tcPr>
                  <w:tcW w:w="575"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食入</w:t>
                  </w:r>
                </w:p>
              </w:tc>
              <w:tc>
                <w:tcPr>
                  <w:tcW w:w="4127" w:type="pct"/>
                  <w:gridSpan w:val="5"/>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误食者立即漱口，饮足量温水，尽快洗胃。就医。</w:t>
                  </w:r>
                </w:p>
              </w:tc>
            </w:tr>
          </w:tbl>
          <w:p>
            <w:pPr>
              <w:pStyle w:val="18"/>
              <w:keepNext w:val="0"/>
              <w:keepLines w:val="0"/>
              <w:suppressLineNumbers w:val="0"/>
              <w:wordWrap w:val="0"/>
              <w:spacing w:before="0" w:beforeAutospacing="0" w:after="0" w:afterAutospacing="0" w:line="480" w:lineRule="exact"/>
              <w:ind w:left="0" w:leftChars="0" w:right="0" w:firstLine="480"/>
              <w:rPr>
                <w:rFonts w:hint="eastAsia"/>
                <w:color w:val="auto"/>
                <w:sz w:val="24"/>
                <w:szCs w:val="21"/>
              </w:rPr>
            </w:pPr>
            <w:r>
              <w:rPr>
                <w:rFonts w:hint="eastAsia"/>
                <w:color w:val="auto"/>
                <w:sz w:val="24"/>
                <w:szCs w:val="21"/>
              </w:rPr>
              <w:t>根据《危险货物品名表》（GB12268-2012），本拟建工程物质危险性识别见表4-2</w:t>
            </w:r>
            <w:r>
              <w:rPr>
                <w:rFonts w:hint="eastAsia"/>
                <w:color w:val="auto"/>
                <w:sz w:val="24"/>
                <w:szCs w:val="21"/>
                <w:lang w:val="en-US" w:eastAsia="zh-CN"/>
              </w:rPr>
              <w:t>6</w:t>
            </w:r>
            <w:r>
              <w:rPr>
                <w:rFonts w:hint="eastAsia"/>
                <w:color w:val="auto"/>
                <w:sz w:val="24"/>
                <w:szCs w:val="21"/>
              </w:rPr>
              <w:t>。</w:t>
            </w:r>
          </w:p>
          <w:p>
            <w:pPr>
              <w:pStyle w:val="56"/>
              <w:keepNext w:val="0"/>
              <w:keepLines w:val="0"/>
              <w:suppressLineNumbers w:val="0"/>
              <w:wordWrap w:val="0"/>
              <w:spacing w:before="0" w:beforeAutospacing="0" w:after="0" w:afterAutospacing="0" w:line="480" w:lineRule="exact"/>
              <w:ind w:left="0" w:right="0"/>
              <w:rPr>
                <w:rFonts w:hint="eastAsia" w:ascii="黑体" w:hAnsi="黑体" w:eastAsia="黑体"/>
                <w:b w:val="0"/>
                <w:bCs/>
                <w:color w:val="auto"/>
                <w:sz w:val="24"/>
                <w:szCs w:val="32"/>
              </w:rPr>
            </w:pPr>
            <w:r>
              <w:rPr>
                <w:rFonts w:hint="eastAsia" w:ascii="黑体" w:hAnsi="黑体" w:eastAsia="黑体"/>
                <w:b w:val="0"/>
                <w:bCs/>
                <w:color w:val="auto"/>
                <w:sz w:val="24"/>
                <w:szCs w:val="32"/>
              </w:rPr>
              <w:t>表4-2</w:t>
            </w:r>
            <w:r>
              <w:rPr>
                <w:rFonts w:hint="eastAsia" w:ascii="黑体" w:hAnsi="黑体" w:eastAsia="黑体"/>
                <w:b w:val="0"/>
                <w:bCs/>
                <w:color w:val="auto"/>
                <w:sz w:val="24"/>
                <w:szCs w:val="32"/>
                <w:lang w:val="en-US" w:eastAsia="zh-CN"/>
              </w:rPr>
              <w:t>6</w:t>
            </w:r>
            <w:r>
              <w:rPr>
                <w:rFonts w:hint="eastAsia" w:ascii="黑体" w:hAnsi="黑体" w:eastAsia="黑体"/>
                <w:b w:val="0"/>
                <w:bCs/>
                <w:color w:val="auto"/>
                <w:sz w:val="24"/>
                <w:szCs w:val="32"/>
              </w:rPr>
              <w:t xml:space="preserve">  物质危险性识别表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70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pct"/>
                  <w:tcMar>
                    <w:top w:w="28" w:type="dxa"/>
                    <w:bottom w:w="28" w:type="dxa"/>
                  </w:tcMar>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物质名称</w:t>
                  </w:r>
                </w:p>
              </w:tc>
              <w:tc>
                <w:tcPr>
                  <w:tcW w:w="1581" w:type="pct"/>
                  <w:tcMar>
                    <w:top w:w="28" w:type="dxa"/>
                    <w:bottom w:w="28" w:type="dxa"/>
                  </w:tcMar>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识别结果</w:t>
                  </w:r>
                </w:p>
              </w:tc>
              <w:tc>
                <w:tcPr>
                  <w:tcW w:w="2097"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pct"/>
                  <w:tcMar>
                    <w:top w:w="28" w:type="dxa"/>
                    <w:bottom w:w="28" w:type="dxa"/>
                  </w:tcMar>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柴油</w:t>
                  </w:r>
                </w:p>
              </w:tc>
              <w:tc>
                <w:tcPr>
                  <w:tcW w:w="1581" w:type="pct"/>
                  <w:tcMar>
                    <w:top w:w="28" w:type="dxa"/>
                    <w:bottom w:w="28" w:type="dxa"/>
                  </w:tcMar>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易燃液体</w:t>
                  </w:r>
                </w:p>
              </w:tc>
              <w:tc>
                <w:tcPr>
                  <w:tcW w:w="2097" w:type="pct"/>
                  <w:vAlign w:val="center"/>
                </w:tcPr>
                <w:p>
                  <w:pPr>
                    <w:pStyle w:val="44"/>
                    <w:keepNext w:val="0"/>
                    <w:keepLines w:val="0"/>
                    <w:widowControl/>
                    <w:suppressLineNumbers w:val="0"/>
                    <w:wordWrap w:val="0"/>
                    <w:spacing w:before="0" w:beforeAutospacing="0" w:after="0" w:afterAutospacing="0"/>
                    <w:ind w:left="0" w:right="0"/>
                    <w:rPr>
                      <w:rFonts w:hint="eastAsia"/>
                      <w:color w:val="auto"/>
                      <w:kern w:val="2"/>
                    </w:rPr>
                  </w:pPr>
                  <w:r>
                    <w:rPr>
                      <w:rFonts w:hint="eastAsia"/>
                      <w:color w:val="auto"/>
                      <w:kern w:val="2"/>
                    </w:rPr>
                    <w:t>《危险货物品名表》GB12268-2012</w:t>
                  </w:r>
                </w:p>
              </w:tc>
            </w:tr>
          </w:tbl>
          <w:p>
            <w:pPr>
              <w:keepNext w:val="0"/>
              <w:keepLines w:val="0"/>
              <w:suppressLineNumbers w:val="0"/>
              <w:spacing w:before="0" w:beforeAutospacing="0" w:after="0" w:afterAutospacing="0" w:line="480" w:lineRule="exact"/>
              <w:ind w:left="0" w:right="0" w:firstLine="482" w:firstLineChars="200"/>
              <w:rPr>
                <w:rFonts w:hint="eastAsia"/>
                <w:b/>
                <w:color w:val="auto"/>
                <w:sz w:val="24"/>
              </w:rPr>
            </w:pPr>
            <w:r>
              <w:rPr>
                <w:rFonts w:hint="eastAsia"/>
                <w:b/>
                <w:color w:val="auto"/>
                <w:sz w:val="24"/>
              </w:rPr>
              <w:t>（2）评价工作等级</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根据《建设项目环境风险评价技术导则》（HJ 169－2018）附录B表B.1突发环境事件风险物质及临界量，汽油、柴油输油类物质（矿物油类，如石油、汽油、柴油等；生物柴油等），其临界量为2500t；危险物质数量与临界量比值（Q）的大小判定见表4-2</w:t>
            </w:r>
            <w:r>
              <w:rPr>
                <w:rFonts w:hint="eastAsia"/>
                <w:color w:val="auto"/>
                <w:sz w:val="24"/>
                <w:lang w:val="en-US" w:eastAsia="zh-CN"/>
              </w:rPr>
              <w:t>7</w:t>
            </w:r>
            <w:r>
              <w:rPr>
                <w:rFonts w:hint="eastAsia"/>
                <w:color w:val="auto"/>
                <w:sz w:val="24"/>
              </w:rPr>
              <w:t>。</w:t>
            </w:r>
          </w:p>
          <w:p>
            <w:pPr>
              <w:pStyle w:val="56"/>
              <w:keepNext w:val="0"/>
              <w:keepLines w:val="0"/>
              <w:suppressLineNumbers w:val="0"/>
              <w:wordWrap w:val="0"/>
              <w:spacing w:before="0" w:beforeAutospacing="0" w:after="0" w:afterAutospacing="0" w:line="480" w:lineRule="exact"/>
              <w:ind w:left="0" w:right="0"/>
              <w:rPr>
                <w:rFonts w:hint="eastAsia" w:ascii="黑体" w:hAnsi="黑体" w:eastAsia="黑体"/>
                <w:b w:val="0"/>
                <w:bCs/>
                <w:color w:val="auto"/>
                <w:sz w:val="24"/>
                <w:szCs w:val="32"/>
              </w:rPr>
            </w:pPr>
            <w:r>
              <w:rPr>
                <w:rFonts w:hint="eastAsia" w:ascii="黑体" w:hAnsi="黑体" w:eastAsia="黑体"/>
                <w:b w:val="0"/>
                <w:bCs/>
                <w:color w:val="auto"/>
                <w:sz w:val="24"/>
                <w:szCs w:val="32"/>
              </w:rPr>
              <w:t>表4-2</w:t>
            </w:r>
            <w:r>
              <w:rPr>
                <w:rFonts w:hint="eastAsia" w:ascii="黑体" w:hAnsi="黑体" w:eastAsia="黑体"/>
                <w:b w:val="0"/>
                <w:bCs/>
                <w:color w:val="auto"/>
                <w:sz w:val="24"/>
                <w:szCs w:val="32"/>
                <w:lang w:val="en-US" w:eastAsia="zh-CN"/>
              </w:rPr>
              <w:t>7</w:t>
            </w:r>
            <w:r>
              <w:rPr>
                <w:rFonts w:hint="eastAsia" w:ascii="黑体" w:hAnsi="黑体" w:eastAsia="黑体"/>
                <w:b w:val="0"/>
                <w:bCs/>
                <w:color w:val="auto"/>
                <w:sz w:val="24"/>
                <w:szCs w:val="32"/>
              </w:rPr>
              <w:t xml:space="preserve">  危险物质数量与临界量比值（Q）的大小判定</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1"/>
              <w:gridCol w:w="2881"/>
              <w:gridCol w:w="1784"/>
              <w:gridCol w:w="930"/>
              <w:gridCol w:w="896"/>
              <w:gridCol w:w="13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51"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序号</w:t>
                  </w:r>
                </w:p>
              </w:tc>
              <w:tc>
                <w:tcPr>
                  <w:tcW w:w="2881"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辨识依据</w:t>
                  </w:r>
                </w:p>
              </w:tc>
              <w:tc>
                <w:tcPr>
                  <w:tcW w:w="1784"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危险物质名称</w:t>
                  </w:r>
                </w:p>
              </w:tc>
              <w:tc>
                <w:tcPr>
                  <w:tcW w:w="930"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临界量</w:t>
                  </w:r>
                </w:p>
              </w:tc>
              <w:tc>
                <w:tcPr>
                  <w:tcW w:w="896"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实际量</w:t>
                  </w:r>
                </w:p>
              </w:tc>
              <w:tc>
                <w:tcPr>
                  <w:tcW w:w="1313"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判定结果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51"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w:t>
                  </w:r>
                </w:p>
              </w:tc>
              <w:tc>
                <w:tcPr>
                  <w:tcW w:w="2881"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《建设项目环境风险评价技术导则》（HJ 169-2018）</w:t>
                  </w:r>
                </w:p>
              </w:tc>
              <w:tc>
                <w:tcPr>
                  <w:tcW w:w="1784"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柴油</w:t>
                  </w:r>
                </w:p>
              </w:tc>
              <w:tc>
                <w:tcPr>
                  <w:tcW w:w="930"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2500t</w:t>
                  </w:r>
                </w:p>
              </w:tc>
              <w:tc>
                <w:tcPr>
                  <w:tcW w:w="896"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10t</w:t>
                  </w:r>
                </w:p>
              </w:tc>
              <w:tc>
                <w:tcPr>
                  <w:tcW w:w="1313" w:type="dxa"/>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Q=0.004＜1</w:t>
                  </w:r>
                </w:p>
              </w:tc>
            </w:tr>
          </w:tbl>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据表4-2</w:t>
            </w:r>
            <w:r>
              <w:rPr>
                <w:rFonts w:hint="eastAsia"/>
                <w:color w:val="auto"/>
                <w:sz w:val="24"/>
                <w:lang w:val="en-US" w:eastAsia="zh-CN"/>
              </w:rPr>
              <w:t>3</w:t>
            </w:r>
            <w:r>
              <w:rPr>
                <w:rFonts w:hint="eastAsia"/>
                <w:color w:val="auto"/>
                <w:sz w:val="24"/>
              </w:rPr>
              <w:t>可知危险物质数量与临界量比值（Q）小于1，根据《建设项目环境风险评价技术导则》（HJ 169－2018）附录C的相关规定，当Q＜1时，该项目风险潜势为Ⅰ。综上，本项目环境风险评价工作等级为简单分析。</w:t>
            </w:r>
          </w:p>
          <w:p>
            <w:pPr>
              <w:keepNext w:val="0"/>
              <w:keepLines w:val="0"/>
              <w:suppressLineNumbers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（3）源项</w:t>
            </w:r>
            <w:r>
              <w:rPr>
                <w:rFonts w:hint="eastAsia"/>
                <w:b/>
                <w:bCs/>
                <w:color w:val="auto"/>
                <w:sz w:val="24"/>
                <w:lang w:val="en-US" w:eastAsia="zh-CN"/>
              </w:rPr>
              <w:t>及影响途径</w:t>
            </w:r>
            <w:r>
              <w:rPr>
                <w:rFonts w:hint="eastAsia"/>
                <w:b/>
                <w:bCs/>
                <w:color w:val="auto"/>
                <w:sz w:val="24"/>
              </w:rPr>
              <w:t>分析</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柴油燃点为300-380℃，其闪点＞45℃，爆炸极限0.6-6.5﹪，遇明火、高热或与氧化剂接触有引起燃烧爆炸的危险。柴油装卸、运输、仓储、使用过程中都有可能发生泄漏、火灾、爆炸事故。油品泄漏、燃烧产生出有毒有害气体，人员吸入造成急性、慢性中毒事故。油品发生泄漏及燃烧造成环境污染。</w:t>
            </w:r>
          </w:p>
          <w:p>
            <w:pPr>
              <w:keepNext w:val="0"/>
              <w:keepLines w:val="0"/>
              <w:suppressLineNumbers w:val="0"/>
              <w:spacing w:before="0" w:beforeAutospacing="0" w:after="0" w:afterAutospacing="0" w:line="480" w:lineRule="exact"/>
              <w:ind w:left="0" w:right="0" w:firstLine="480" w:firstLineChars="200"/>
              <w:rPr>
                <w:rFonts w:hint="default" w:eastAsia="宋体"/>
                <w:color w:val="auto"/>
                <w:sz w:val="24"/>
                <w:lang w:val="en-US" w:eastAsia="zh-CN"/>
              </w:rPr>
            </w:pPr>
            <w:r>
              <w:rPr>
                <w:rFonts w:hint="eastAsia"/>
                <w:color w:val="auto"/>
                <w:sz w:val="24"/>
              </w:rPr>
              <w:t>本项目柴油储罐储存能力为10t，柴油储罐泄漏时泄漏量较少。</w:t>
            </w:r>
            <w:r>
              <w:rPr>
                <w:rFonts w:hint="eastAsia"/>
                <w:color w:val="auto"/>
                <w:sz w:val="24"/>
                <w:lang w:val="en-US" w:eastAsia="zh-CN"/>
              </w:rPr>
              <w:t>可能影响途径为油品泄露造成区域有机废气浓度超标，对周围人员产生不利影响；泄露事故造成的火灾、爆炸事故产生的此生污染物如有机废气、CO等</w:t>
            </w:r>
            <w:r>
              <w:rPr>
                <w:rFonts w:hint="eastAsia"/>
                <w:color w:val="auto"/>
                <w:sz w:val="24"/>
              </w:rPr>
              <w:t>有毒有害气体，人员吸入造成急性、慢性中毒事故</w:t>
            </w:r>
          </w:p>
          <w:p>
            <w:pPr>
              <w:keepNext w:val="0"/>
              <w:keepLines w:val="0"/>
              <w:suppressLineNumbers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（4）</w:t>
            </w:r>
            <w:r>
              <w:rPr>
                <w:rFonts w:hint="eastAsia" w:hAnsi="宋体"/>
                <w:b/>
                <w:bCs/>
                <w:color w:val="auto"/>
                <w:sz w:val="24"/>
                <w:szCs w:val="20"/>
              </w:rPr>
              <w:t>风险防范措施</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为了防止事故的发生，拟建项目的环境风险评价从管理、安全设计、防火、防毒等方面提出风险事故的防范措施。</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1）运输装卸</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确定柴油供应商具备有效资质证明和专业运输车辆，由供应商具有资质的专业人员进行运输。严禁与氧化剂、卤素、食用化学品等混装混运。运输途中应防曝晒、雨淋，防高温。中途停留时应远离火种、热源、高温区。装运该物品的车辆排气管必须配备阻火装置，禁止使用易产生火花的机械设备和工具装卸。同时通知相关接收人员和值班人员做接收前的准备。</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装卸区域内所有人员均需配备必要的安全防护装备，并备好消防水管、灭火器、灭火沙等灭火工具；现场接收人员及油罐车司机全程监视相关闸阀、过滤器等设备的运行情况，防止跑、冒、滴、漏等事件发生，随时准备处理可能发生的问题；卸车结束后清理现场，确保无任何有害物质遗留。</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2）储存</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柴油储罐应当符合有关安全防火规定，设置相应的通风、防爆、防火、防雷、防静电等安全设施并作好标识。定期检查呼吸阀和阻火器情况是否处于正常状态。</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①对存放柴油的储油罐进行严格管控。</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②存放柴油的储油罐周围不得有无关的物品、物资存放（包括临时性存放）；禁止堆放易燃、易爆物品及腐蚀性物品；严禁随处乱堆乱放固体废弃物。</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③严禁在储油罐处吸烟和使用明火，严禁私自改动储油罐外观、结构和用途，禁止敲打和碰撞以防产生火花。发现火警必须及时报告，同时尽全力与消防人员共同扑灭火灾。</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3）巡视检查</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柴油必须指定管理人员，负责督促检查柴油的安全，贯彻落实各项安全管理制度。定期对柴油罐进行检查。对存在安全隐患的，必须限期整改完毕。</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①值班人员每天必须对柴油罐进行日常巡视，并作好相应记录，如发现异常，及时采取有效的措施；</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②加强对阀门、管道的定时巡回检查；</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③定期对所配置的消防设施、器材进行检查，确保其完好；</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④对储油罐的液面进行定期检查，发现不足及时补给。</w:t>
            </w:r>
          </w:p>
          <w:p>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本项目环境风险简单分析内容见表4-2</w:t>
            </w:r>
            <w:r>
              <w:rPr>
                <w:rFonts w:hint="eastAsia"/>
                <w:color w:val="auto"/>
                <w:sz w:val="24"/>
                <w:lang w:val="en-US" w:eastAsia="zh-CN"/>
              </w:rPr>
              <w:t>8</w:t>
            </w:r>
            <w:r>
              <w:rPr>
                <w:rFonts w:hint="eastAsia"/>
                <w:color w:val="auto"/>
                <w:sz w:val="24"/>
              </w:rPr>
              <w:t>。</w:t>
            </w:r>
          </w:p>
          <w:p>
            <w:pPr>
              <w:pStyle w:val="56"/>
              <w:keepNext w:val="0"/>
              <w:keepLines w:val="0"/>
              <w:suppressLineNumbers w:val="0"/>
              <w:wordWrap w:val="0"/>
              <w:spacing w:before="0" w:beforeAutospacing="0" w:after="0" w:afterAutospacing="0" w:line="480" w:lineRule="exact"/>
              <w:ind w:left="0" w:right="0"/>
              <w:rPr>
                <w:rFonts w:hint="eastAsia" w:ascii="黑体" w:hAnsi="黑体" w:eastAsia="黑体"/>
                <w:b w:val="0"/>
                <w:bCs/>
                <w:color w:val="auto"/>
                <w:sz w:val="24"/>
                <w:szCs w:val="32"/>
              </w:rPr>
            </w:pPr>
            <w:r>
              <w:rPr>
                <w:rFonts w:hint="eastAsia" w:ascii="黑体" w:hAnsi="黑体" w:eastAsia="黑体"/>
                <w:b w:val="0"/>
                <w:bCs/>
                <w:color w:val="auto"/>
                <w:sz w:val="24"/>
                <w:szCs w:val="32"/>
              </w:rPr>
              <w:t>表4-2</w:t>
            </w:r>
            <w:r>
              <w:rPr>
                <w:rFonts w:hint="eastAsia" w:ascii="黑体" w:hAnsi="黑体" w:eastAsia="黑体"/>
                <w:b w:val="0"/>
                <w:bCs/>
                <w:color w:val="auto"/>
                <w:sz w:val="24"/>
                <w:szCs w:val="32"/>
                <w:lang w:val="en-US" w:eastAsia="zh-CN"/>
              </w:rPr>
              <w:t>8</w:t>
            </w:r>
            <w:r>
              <w:rPr>
                <w:rFonts w:hint="eastAsia" w:ascii="黑体" w:hAnsi="黑体" w:eastAsia="黑体"/>
                <w:b w:val="0"/>
                <w:bCs/>
                <w:color w:val="auto"/>
                <w:sz w:val="24"/>
                <w:szCs w:val="32"/>
              </w:rPr>
              <w:t xml:space="preserve">  建设项目环境风险简单分析内容表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1313"/>
              <w:gridCol w:w="2015"/>
              <w:gridCol w:w="99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pStyle w:val="64"/>
                    <w:keepNext w:val="0"/>
                    <w:keepLines w:val="0"/>
                    <w:suppressLineNumbers w:val="0"/>
                    <w:spacing w:before="0" w:beforeAutospacing="0" w:afterAutospacing="0"/>
                    <w:ind w:left="420" w:right="-147"/>
                    <w:rPr>
                      <w:rFonts w:hint="eastAsia" w:eastAsia="宋体"/>
                      <w:color w:val="auto"/>
                    </w:rPr>
                  </w:pPr>
                  <w:r>
                    <w:rPr>
                      <w:rFonts w:hint="eastAsia" w:eastAsia="宋体"/>
                      <w:color w:val="auto"/>
                    </w:rPr>
                    <w:t>建设项目名称</w:t>
                  </w:r>
                </w:p>
              </w:tc>
              <w:tc>
                <w:tcPr>
                  <w:tcW w:w="3617" w:type="pct"/>
                  <w:gridSpan w:val="4"/>
                  <w:vAlign w:val="center"/>
                </w:tcPr>
                <w:p>
                  <w:pPr>
                    <w:pStyle w:val="64"/>
                    <w:keepNext w:val="0"/>
                    <w:keepLines w:val="0"/>
                    <w:suppressLineNumbers w:val="0"/>
                    <w:spacing w:before="0" w:beforeAutospacing="0" w:afterAutospacing="0"/>
                    <w:ind w:left="420" w:right="-147"/>
                    <w:rPr>
                      <w:rFonts w:hint="eastAsia" w:ascii="宋体" w:eastAsia="宋体"/>
                      <w:color w:val="auto"/>
                    </w:rPr>
                  </w:pPr>
                  <w:r>
                    <w:rPr>
                      <w:rFonts w:hint="eastAsia" w:ascii="宋体" w:eastAsia="宋体"/>
                      <w:bCs/>
                      <w:color w:val="auto"/>
                    </w:rPr>
                    <w:t>五台县殡仪馆项目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建设地点</w:t>
                  </w:r>
                </w:p>
              </w:tc>
              <w:tc>
                <w:tcPr>
                  <w:tcW w:w="3617" w:type="pct"/>
                  <w:gridSpan w:val="4"/>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山西省忻州市五台县沟南乡南山村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地理坐标</w:t>
                  </w:r>
                </w:p>
              </w:tc>
              <w:tc>
                <w:tcPr>
                  <w:tcW w:w="768"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经度</w:t>
                  </w:r>
                </w:p>
              </w:tc>
              <w:tc>
                <w:tcPr>
                  <w:tcW w:w="1179"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 xml:space="preserve">113 度 </w:t>
                  </w:r>
                  <w:r>
                    <w:rPr>
                      <w:rFonts w:hint="eastAsia"/>
                      <w:color w:val="auto"/>
                      <w:szCs w:val="21"/>
                      <w:lang w:val="en-US" w:eastAsia="zh-CN"/>
                    </w:rPr>
                    <w:t>15</w:t>
                  </w:r>
                  <w:r>
                    <w:rPr>
                      <w:rFonts w:hint="eastAsia"/>
                      <w:color w:val="auto"/>
                      <w:szCs w:val="21"/>
                    </w:rPr>
                    <w:t xml:space="preserve"> 分 15.505 秒</w:t>
                  </w:r>
                </w:p>
              </w:tc>
              <w:tc>
                <w:tcPr>
                  <w:tcW w:w="580"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纬度</w:t>
                  </w:r>
                </w:p>
              </w:tc>
              <w:tc>
                <w:tcPr>
                  <w:tcW w:w="1090"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 xml:space="preserve">38 度 </w:t>
                  </w:r>
                  <w:r>
                    <w:rPr>
                      <w:rFonts w:hint="eastAsia"/>
                      <w:color w:val="auto"/>
                      <w:szCs w:val="21"/>
                      <w:lang w:val="en-US" w:eastAsia="zh-CN"/>
                    </w:rPr>
                    <w:t>39</w:t>
                  </w:r>
                  <w:r>
                    <w:rPr>
                      <w:rFonts w:hint="eastAsia"/>
                      <w:color w:val="auto"/>
                      <w:szCs w:val="21"/>
                    </w:rPr>
                    <w:t xml:space="preserve"> 分 29.883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主要危险物质及分布</w:t>
                  </w:r>
                </w:p>
              </w:tc>
              <w:tc>
                <w:tcPr>
                  <w:tcW w:w="3617" w:type="pct"/>
                  <w:gridSpan w:val="4"/>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危险物质：柴油；位置：柴油储存区。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环境影响途径及危害后果（大气、地表水、地下水等）</w:t>
                  </w:r>
                </w:p>
              </w:tc>
              <w:tc>
                <w:tcPr>
                  <w:tcW w:w="3617" w:type="pct"/>
                  <w:gridSpan w:val="4"/>
                  <w:vAlign w:val="center"/>
                </w:tcPr>
                <w:p>
                  <w:pPr>
                    <w:keepNext w:val="0"/>
                    <w:keepLines w:val="0"/>
                    <w:suppressLineNumbers w:val="0"/>
                    <w:spacing w:before="0" w:beforeAutospacing="0" w:after="0" w:afterAutospacing="0" w:line="320" w:lineRule="exact"/>
                    <w:ind w:left="0" w:right="0"/>
                    <w:rPr>
                      <w:rFonts w:hint="eastAsia"/>
                      <w:color w:val="auto"/>
                      <w:szCs w:val="21"/>
                      <w:lang w:bidi="en-US"/>
                    </w:rPr>
                  </w:pPr>
                  <w:r>
                    <w:rPr>
                      <w:rFonts w:hint="eastAsia"/>
                      <w:color w:val="auto"/>
                      <w:szCs w:val="21"/>
                      <w:lang w:bidi="en-US"/>
                    </w:rPr>
                    <w:t>本项目主要风险物质为柴油，在使用、储存过程中存在泄露、发生火灾爆炸的风险，可能对土壤、地下水、地表水、大气环境造成污染。</w:t>
                  </w:r>
                </w:p>
                <w:p>
                  <w:pPr>
                    <w:keepNext w:val="0"/>
                    <w:keepLines w:val="0"/>
                    <w:suppressLineNumbers w:val="0"/>
                    <w:spacing w:before="0" w:beforeAutospacing="0" w:after="0" w:afterAutospacing="0" w:line="320" w:lineRule="exact"/>
                    <w:ind w:left="0" w:right="0"/>
                    <w:rPr>
                      <w:rFonts w:hint="eastAsia"/>
                      <w:color w:val="auto"/>
                      <w:szCs w:val="21"/>
                    </w:rPr>
                  </w:pPr>
                  <w:r>
                    <w:rPr>
                      <w:rFonts w:hint="eastAsia"/>
                      <w:color w:val="auto"/>
                      <w:szCs w:val="21"/>
                    </w:rPr>
                    <w:t>柴油泄露造成地表水、地下水、土壤污染；火灾爆炸事故，产生次生污染物，如一氧化碳，对大气环境造成污染。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风险防控措施要求</w:t>
                  </w:r>
                </w:p>
              </w:tc>
              <w:tc>
                <w:tcPr>
                  <w:tcW w:w="3617" w:type="pct"/>
                  <w:gridSpan w:val="4"/>
                  <w:vAlign w:val="center"/>
                </w:tcPr>
                <w:p>
                  <w:pPr>
                    <w:keepNext w:val="0"/>
                    <w:keepLines w:val="0"/>
                    <w:suppressLineNumbers w:val="0"/>
                    <w:spacing w:before="0" w:beforeAutospacing="0" w:after="0" w:afterAutospacing="0" w:line="320" w:lineRule="exact"/>
                    <w:ind w:left="0" w:right="0"/>
                    <w:rPr>
                      <w:rFonts w:hint="eastAsia"/>
                      <w:color w:val="auto"/>
                      <w:szCs w:val="21"/>
                      <w:lang w:bidi="en-US"/>
                    </w:rPr>
                  </w:pPr>
                  <w:r>
                    <w:rPr>
                      <w:rFonts w:hint="eastAsia"/>
                      <w:color w:val="auto"/>
                      <w:szCs w:val="21"/>
                      <w:lang w:bidi="en-US"/>
                    </w:rPr>
                    <w:t>a.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pPr>
                    <w:keepNext w:val="0"/>
                    <w:keepLines w:val="0"/>
                    <w:suppressLineNumbers w:val="0"/>
                    <w:spacing w:before="0" w:beforeAutospacing="0" w:after="0" w:afterAutospacing="0" w:line="320" w:lineRule="exact"/>
                    <w:ind w:left="0" w:right="0"/>
                    <w:rPr>
                      <w:rFonts w:hint="eastAsia"/>
                      <w:color w:val="auto"/>
                      <w:szCs w:val="21"/>
                      <w:lang w:bidi="en-US"/>
                    </w:rPr>
                  </w:pPr>
                  <w:r>
                    <w:rPr>
                      <w:rFonts w:hint="eastAsia"/>
                      <w:color w:val="auto"/>
                      <w:szCs w:val="21"/>
                      <w:lang w:bidi="en-US"/>
                    </w:rPr>
                    <w:t xml:space="preserve">b.火化间和柴油储存区内应配备灭火器、消防砂箱和防毒面具等消防应急设备，并定期检查设备有效性； </w:t>
                  </w:r>
                </w:p>
                <w:p>
                  <w:pPr>
                    <w:keepNext w:val="0"/>
                    <w:keepLines w:val="0"/>
                    <w:suppressLineNumbers w:val="0"/>
                    <w:spacing w:before="0" w:beforeAutospacing="0" w:after="0" w:afterAutospacing="0" w:line="320" w:lineRule="exact"/>
                    <w:ind w:left="0" w:right="0"/>
                    <w:rPr>
                      <w:rFonts w:hint="eastAsia"/>
                      <w:color w:val="auto"/>
                      <w:szCs w:val="21"/>
                      <w:lang w:bidi="en-US"/>
                    </w:rPr>
                  </w:pPr>
                  <w:r>
                    <w:rPr>
                      <w:rFonts w:hint="eastAsia"/>
                      <w:color w:val="auto"/>
                      <w:szCs w:val="21"/>
                      <w:lang w:bidi="en-US"/>
                    </w:rPr>
                    <w:t>c.事故处理完毕后将泄漏液转移至槽车或专用的收集容器内，再做进一步处置。</w:t>
                  </w:r>
                </w:p>
                <w:p>
                  <w:pPr>
                    <w:keepNext w:val="0"/>
                    <w:keepLines w:val="0"/>
                    <w:suppressLineNumbers w:val="0"/>
                    <w:spacing w:before="0" w:beforeAutospacing="0" w:after="0" w:afterAutospacing="0" w:line="320" w:lineRule="exact"/>
                    <w:ind w:left="0" w:right="0"/>
                    <w:rPr>
                      <w:rFonts w:hint="eastAsia"/>
                      <w:color w:val="auto"/>
                      <w:szCs w:val="21"/>
                    </w:rPr>
                  </w:pPr>
                  <w:r>
                    <w:rPr>
                      <w:rFonts w:hint="eastAsia"/>
                      <w:color w:val="auto"/>
                      <w:szCs w:val="21"/>
                    </w:rPr>
                    <w:t>d.设置围堰。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suppressLineNumbers w:val="0"/>
                    <w:spacing w:before="0" w:beforeAutospacing="0" w:after="0" w:afterAutospacing="0" w:line="320" w:lineRule="exact"/>
                    <w:ind w:left="0" w:right="0"/>
                    <w:jc w:val="center"/>
                    <w:rPr>
                      <w:rFonts w:hint="eastAsia"/>
                      <w:color w:val="auto"/>
                      <w:szCs w:val="21"/>
                    </w:rPr>
                  </w:pPr>
                  <w:r>
                    <w:rPr>
                      <w:rFonts w:hint="eastAsia"/>
                      <w:color w:val="auto"/>
                      <w:szCs w:val="21"/>
                    </w:rPr>
                    <w:t>填表说明（列出项目相关信息及评价说明）</w:t>
                  </w:r>
                </w:p>
              </w:tc>
            </w:tr>
          </w:tbl>
          <w:p>
            <w:pPr>
              <w:keepNext w:val="0"/>
              <w:keepLines w:val="0"/>
              <w:suppressLineNumbers w:val="0"/>
              <w:adjustRightInd w:val="0"/>
              <w:snapToGrid w:val="0"/>
              <w:spacing w:before="0" w:beforeAutospacing="0" w:after="0" w:afterAutospacing="0" w:line="480" w:lineRule="exact"/>
              <w:ind w:left="0" w:right="0" w:firstLine="482" w:firstLineChars="200"/>
              <w:rPr>
                <w:rFonts w:hint="eastAsia"/>
                <w:color w:val="auto"/>
                <w:sz w:val="24"/>
              </w:rPr>
            </w:pPr>
            <w:r>
              <w:rPr>
                <w:rFonts w:hint="eastAsia"/>
                <w:b/>
                <w:bCs/>
                <w:color w:val="auto"/>
                <w:sz w:val="24"/>
              </w:rPr>
              <w:t>7、</w:t>
            </w:r>
            <w:r>
              <w:rPr>
                <w:rFonts w:hint="eastAsia" w:hAnsi="宋体"/>
                <w:b/>
                <w:color w:val="auto"/>
                <w:sz w:val="24"/>
                <w:szCs w:val="20"/>
              </w:rPr>
              <w:t>环保设备投资估算</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本项目主要环保投资估算见下表。</w:t>
            </w: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p>
          <w:p>
            <w:pPr>
              <w:pStyle w:val="67"/>
              <w:keepNext w:val="0"/>
              <w:keepLines w:val="0"/>
              <w:widowControl/>
              <w:suppressLineNumbers w:val="0"/>
              <w:spacing w:before="0" w:beforeAutospacing="0" w:after="0" w:afterAutospacing="0" w:line="480" w:lineRule="exact"/>
              <w:ind w:left="0" w:right="0" w:firstLine="480"/>
              <w:rPr>
                <w:rFonts w:hint="eastAsia" w:ascii="黑体" w:hAnsi="黑体" w:eastAsia="黑体"/>
                <w:color w:val="auto"/>
              </w:rPr>
            </w:pPr>
            <w:r>
              <w:rPr>
                <w:rFonts w:hint="eastAsia" w:ascii="黑体" w:hAnsi="黑体" w:eastAsia="黑体"/>
                <w:color w:val="auto"/>
              </w:rPr>
              <w:t>表4-2</w:t>
            </w:r>
            <w:r>
              <w:rPr>
                <w:rFonts w:hint="eastAsia" w:ascii="黑体" w:hAnsi="黑体" w:eastAsia="黑体"/>
                <w:color w:val="auto"/>
                <w:lang w:val="en-US" w:eastAsia="zh-CN"/>
              </w:rPr>
              <w:t>9</w:t>
            </w:r>
            <w:r>
              <w:rPr>
                <w:rFonts w:hint="eastAsia" w:ascii="黑体" w:hAnsi="黑体" w:eastAsia="黑体"/>
                <w:color w:val="auto"/>
              </w:rPr>
              <w:t xml:space="preserve">  本项目环保设备投资估算表 （万元）</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37"/>
              <w:gridCol w:w="1412"/>
              <w:gridCol w:w="391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项目</w:t>
                  </w:r>
                </w:p>
              </w:tc>
              <w:tc>
                <w:tcPr>
                  <w:tcW w:w="958"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污染环节</w:t>
                  </w:r>
                </w:p>
              </w:tc>
              <w:tc>
                <w:tcPr>
                  <w:tcW w:w="82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污染物</w:t>
                  </w:r>
                </w:p>
              </w:tc>
              <w:tc>
                <w:tcPr>
                  <w:tcW w:w="2291"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环保设施</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环境空气</w:t>
                  </w:r>
                </w:p>
              </w:tc>
              <w:tc>
                <w:tcPr>
                  <w:tcW w:w="958" w:type="pct"/>
                  <w:vAlign w:val="center"/>
                </w:tcPr>
                <w:p>
                  <w:pPr>
                    <w:pStyle w:val="69"/>
                    <w:keepNext w:val="0"/>
                    <w:keepLines w:val="0"/>
                    <w:widowControl w:val="0"/>
                    <w:suppressLineNumbers w:val="0"/>
                    <w:snapToGrid/>
                    <w:spacing w:before="0" w:beforeAutospacing="0" w:after="0" w:afterAutospacing="0"/>
                    <w:ind w:left="0" w:right="0"/>
                    <w:rPr>
                      <w:rFonts w:hint="eastAsia"/>
                      <w:color w:val="auto"/>
                      <w:szCs w:val="18"/>
                    </w:rPr>
                  </w:pPr>
                  <w:r>
                    <w:rPr>
                      <w:rFonts w:hint="eastAsia"/>
                      <w:color w:val="auto"/>
                    </w:rPr>
                    <w:t>火化机废气</w:t>
                  </w:r>
                </w:p>
              </w:tc>
              <w:tc>
                <w:tcPr>
                  <w:tcW w:w="82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烟尘、SO</w:t>
                  </w:r>
                  <w:r>
                    <w:rPr>
                      <w:rFonts w:hint="eastAsia"/>
                      <w:bCs/>
                      <w:color w:val="auto"/>
                      <w:szCs w:val="21"/>
                      <w:vertAlign w:val="subscript"/>
                    </w:rPr>
                    <w:t>2</w:t>
                  </w:r>
                  <w:r>
                    <w:rPr>
                      <w:rFonts w:hint="eastAsia"/>
                      <w:bCs/>
                      <w:color w:val="auto"/>
                      <w:szCs w:val="21"/>
                    </w:rPr>
                    <w:t>、NO</w:t>
                  </w:r>
                  <w:r>
                    <w:rPr>
                      <w:rFonts w:hint="eastAsia"/>
                      <w:bCs/>
                      <w:color w:val="auto"/>
                      <w:szCs w:val="21"/>
                      <w:vertAlign w:val="subscript"/>
                    </w:rPr>
                    <w:t>x</w:t>
                  </w:r>
                  <w:r>
                    <w:rPr>
                      <w:rFonts w:hint="eastAsia"/>
                      <w:bCs/>
                      <w:color w:val="auto"/>
                      <w:szCs w:val="21"/>
                    </w:rPr>
                    <w:t>、CO、HCl、汞、二噁英类</w:t>
                  </w:r>
                </w:p>
              </w:tc>
              <w:tc>
                <w:tcPr>
                  <w:tcW w:w="2291" w:type="pct"/>
                  <w:vAlign w:val="center"/>
                </w:tcPr>
                <w:p>
                  <w:pPr>
                    <w:pStyle w:val="47"/>
                    <w:keepNext w:val="0"/>
                    <w:keepLines w:val="0"/>
                    <w:suppressLineNumbers w:val="0"/>
                    <w:snapToGrid/>
                    <w:spacing w:before="0" w:beforeAutospacing="0" w:after="0" w:afterAutospacing="0" w:line="240" w:lineRule="auto"/>
                    <w:ind w:left="0" w:right="0" w:firstLine="0" w:firstLineChars="0"/>
                    <w:jc w:val="both"/>
                    <w:rPr>
                      <w:rFonts w:hint="eastAsia"/>
                      <w:color w:val="auto"/>
                      <w:sz w:val="21"/>
                      <w:szCs w:val="21"/>
                    </w:rPr>
                  </w:pPr>
                  <w:r>
                    <w:rPr>
                      <w:rFonts w:hint="eastAsia"/>
                      <w:color w:val="auto"/>
                      <w:sz w:val="21"/>
                      <w:szCs w:val="21"/>
                    </w:rPr>
                    <w:t>3台节能环保火化机分别单独配置一套废气处理设施+1根12m高排气筒；共3套废气处理设施，3根排气筒。</w:t>
                  </w:r>
                </w:p>
                <w:p>
                  <w:pPr>
                    <w:pStyle w:val="47"/>
                    <w:keepNext w:val="0"/>
                    <w:keepLines w:val="0"/>
                    <w:suppressLineNumbers w:val="0"/>
                    <w:snapToGrid/>
                    <w:spacing w:before="0" w:beforeAutospacing="0" w:after="0" w:afterAutospacing="0" w:line="240" w:lineRule="auto"/>
                    <w:ind w:left="0" w:right="0" w:firstLine="0" w:firstLineChars="0"/>
                    <w:jc w:val="both"/>
                    <w:rPr>
                      <w:rFonts w:hint="eastAsia"/>
                      <w:color w:val="auto"/>
                      <w:sz w:val="21"/>
                      <w:szCs w:val="21"/>
                    </w:rPr>
                  </w:pPr>
                  <w:r>
                    <w:rPr>
                      <w:rFonts w:hint="eastAsia"/>
                      <w:color w:val="auto"/>
                      <w:sz w:val="21"/>
                      <w:szCs w:val="21"/>
                    </w:rPr>
                    <w:t>烟气净化采用急冷装置+半干法脱硫+活性炭喷射+布袋除尘器+活性炭吸附组合方案。</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lang w:val="en-US" w:eastAsia="zh-CN"/>
                    </w:rPr>
                    <w:t>6</w:t>
                  </w:r>
                  <w:r>
                    <w:rPr>
                      <w:rFonts w:hint="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widowControl/>
                    <w:suppressLineNumbers w:val="0"/>
                    <w:spacing w:before="0" w:beforeAutospacing="0" w:after="0" w:afterAutospacing="0"/>
                    <w:ind w:left="0" w:right="0"/>
                    <w:jc w:val="center"/>
                    <w:rPr>
                      <w:rFonts w:hint="eastAsia"/>
                      <w:bCs/>
                      <w:color w:val="auto"/>
                      <w:szCs w:val="21"/>
                    </w:rPr>
                  </w:pPr>
                </w:p>
              </w:tc>
              <w:tc>
                <w:tcPr>
                  <w:tcW w:w="958" w:type="pct"/>
                  <w:vAlign w:val="center"/>
                </w:tcPr>
                <w:p>
                  <w:pPr>
                    <w:pStyle w:val="69"/>
                    <w:keepNext w:val="0"/>
                    <w:keepLines w:val="0"/>
                    <w:widowControl w:val="0"/>
                    <w:suppressLineNumbers w:val="0"/>
                    <w:snapToGrid/>
                    <w:spacing w:before="0" w:beforeAutospacing="0" w:after="0" w:afterAutospacing="0"/>
                    <w:ind w:left="0" w:right="0"/>
                    <w:rPr>
                      <w:rFonts w:hint="eastAsia"/>
                      <w:color w:val="auto"/>
                      <w:szCs w:val="18"/>
                    </w:rPr>
                  </w:pPr>
                  <w:r>
                    <w:rPr>
                      <w:rFonts w:hint="eastAsia"/>
                      <w:color w:val="auto"/>
                      <w:szCs w:val="18"/>
                    </w:rPr>
                    <w:t>遗物祭品焚烧炉废气</w:t>
                  </w:r>
                </w:p>
              </w:tc>
              <w:tc>
                <w:tcPr>
                  <w:tcW w:w="826" w:type="pct"/>
                  <w:vAlign w:val="center"/>
                </w:tcPr>
                <w:p>
                  <w:pPr>
                    <w:keepNext w:val="0"/>
                    <w:keepLines w:val="0"/>
                    <w:widowControl/>
                    <w:suppressLineNumbers w:val="0"/>
                    <w:spacing w:before="0" w:beforeAutospacing="0" w:after="0" w:afterAutospacing="0"/>
                    <w:ind w:left="0" w:right="0"/>
                    <w:jc w:val="center"/>
                    <w:rPr>
                      <w:rFonts w:hint="eastAsia"/>
                      <w:bCs/>
                      <w:color w:val="auto"/>
                      <w:szCs w:val="21"/>
                    </w:rPr>
                  </w:pPr>
                  <w:r>
                    <w:rPr>
                      <w:rFonts w:hint="eastAsia"/>
                      <w:bCs/>
                      <w:color w:val="auto"/>
                      <w:szCs w:val="21"/>
                    </w:rPr>
                    <w:t>烟尘、SO</w:t>
                  </w:r>
                  <w:r>
                    <w:rPr>
                      <w:rFonts w:hint="eastAsia"/>
                      <w:bCs/>
                      <w:color w:val="auto"/>
                      <w:szCs w:val="21"/>
                      <w:vertAlign w:val="subscript"/>
                    </w:rPr>
                    <w:t>2</w:t>
                  </w:r>
                  <w:r>
                    <w:rPr>
                      <w:rFonts w:hint="eastAsia"/>
                      <w:bCs/>
                      <w:color w:val="auto"/>
                      <w:szCs w:val="21"/>
                    </w:rPr>
                    <w:t>、NO</w:t>
                  </w:r>
                  <w:r>
                    <w:rPr>
                      <w:rFonts w:hint="eastAsia"/>
                      <w:bCs/>
                      <w:color w:val="auto"/>
                      <w:szCs w:val="21"/>
                      <w:vertAlign w:val="subscript"/>
                    </w:rPr>
                    <w:t>x</w:t>
                  </w:r>
                  <w:r>
                    <w:rPr>
                      <w:rFonts w:hint="eastAsia"/>
                      <w:bCs/>
                      <w:color w:val="auto"/>
                      <w:szCs w:val="21"/>
                    </w:rPr>
                    <w:t>、CO、HCl、二噁英类</w:t>
                  </w:r>
                </w:p>
              </w:tc>
              <w:tc>
                <w:tcPr>
                  <w:tcW w:w="2291" w:type="pct"/>
                  <w:vAlign w:val="center"/>
                </w:tcPr>
                <w:p>
                  <w:pPr>
                    <w:pStyle w:val="47"/>
                    <w:keepNext w:val="0"/>
                    <w:keepLines w:val="0"/>
                    <w:suppressLineNumbers w:val="0"/>
                    <w:snapToGrid/>
                    <w:spacing w:before="0" w:beforeAutospacing="0" w:after="0" w:afterAutospacing="0" w:line="240" w:lineRule="auto"/>
                    <w:ind w:left="0" w:right="0" w:firstLine="0" w:firstLineChars="0"/>
                    <w:jc w:val="both"/>
                    <w:rPr>
                      <w:rFonts w:hint="eastAsia"/>
                      <w:color w:val="auto"/>
                      <w:sz w:val="21"/>
                      <w:szCs w:val="21"/>
                    </w:rPr>
                  </w:pPr>
                  <w:r>
                    <w:rPr>
                      <w:rFonts w:hint="eastAsia"/>
                      <w:color w:val="auto"/>
                      <w:sz w:val="21"/>
                      <w:szCs w:val="21"/>
                    </w:rPr>
                    <w:t>遗物祭品焚烧炉单独配置一套废气处理设施+1根12m高排气筒。</w:t>
                  </w:r>
                </w:p>
                <w:p>
                  <w:pPr>
                    <w:pStyle w:val="47"/>
                    <w:keepNext w:val="0"/>
                    <w:keepLines w:val="0"/>
                    <w:suppressLineNumbers w:val="0"/>
                    <w:snapToGrid/>
                    <w:spacing w:before="0" w:beforeAutospacing="0" w:after="0" w:afterAutospacing="0" w:line="240" w:lineRule="auto"/>
                    <w:ind w:left="0" w:right="0" w:firstLine="0" w:firstLineChars="0"/>
                    <w:jc w:val="both"/>
                    <w:rPr>
                      <w:rFonts w:hint="eastAsia"/>
                      <w:color w:val="auto"/>
                      <w:sz w:val="21"/>
                      <w:szCs w:val="21"/>
                    </w:rPr>
                  </w:pPr>
                  <w:r>
                    <w:rPr>
                      <w:rFonts w:hint="eastAsia"/>
                      <w:color w:val="auto"/>
                      <w:sz w:val="21"/>
                      <w:szCs w:val="21"/>
                    </w:rPr>
                    <w:t>烟气净化采用急冷装置+半干法脱硫+活性炭喷射+布袋除尘器+活性炭吸附组合方案。</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lang w:val="en-US" w:eastAsia="zh-CN"/>
                    </w:rPr>
                    <w:t>2</w:t>
                  </w:r>
                  <w:r>
                    <w:rPr>
                      <w:rFonts w:hint="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水污染</w:t>
                  </w:r>
                </w:p>
              </w:tc>
              <w:tc>
                <w:tcPr>
                  <w:tcW w:w="958"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bCs/>
                      <w:color w:val="auto"/>
                      <w:sz w:val="21"/>
                      <w:szCs w:val="18"/>
                    </w:rPr>
                  </w:pPr>
                  <w:r>
                    <w:rPr>
                      <w:rFonts w:hint="eastAsia"/>
                      <w:color w:val="auto"/>
                      <w:sz w:val="21"/>
                      <w:szCs w:val="18"/>
                    </w:rPr>
                    <w:t>遗体处置清洗、消毒废水</w:t>
                  </w:r>
                </w:p>
              </w:tc>
              <w:tc>
                <w:tcPr>
                  <w:tcW w:w="826"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szCs w:val="21"/>
                    </w:rPr>
                    <w:t>COD、BOD、氨氮、SS等</w:t>
                  </w:r>
                </w:p>
              </w:tc>
              <w:tc>
                <w:tcPr>
                  <w:tcW w:w="2291" w:type="pct"/>
                  <w:vMerge w:val="restart"/>
                  <w:vAlign w:val="center"/>
                </w:tcPr>
                <w:p>
                  <w:pPr>
                    <w:keepNext w:val="0"/>
                    <w:keepLines w:val="0"/>
                    <w:suppressLineNumbers w:val="0"/>
                    <w:spacing w:before="0" w:beforeAutospacing="0" w:after="0" w:afterAutospacing="0"/>
                    <w:ind w:left="0" w:right="0"/>
                    <w:jc w:val="both"/>
                    <w:rPr>
                      <w:rFonts w:hint="eastAsia" w:hAnsi="宋体"/>
                      <w:color w:val="auto"/>
                      <w:szCs w:val="21"/>
                    </w:rPr>
                  </w:pPr>
                  <w:r>
                    <w:rPr>
                      <w:rFonts w:hint="eastAsia" w:hAnsi="宋体"/>
                      <w:color w:val="auto"/>
                      <w:szCs w:val="21"/>
                    </w:rPr>
                    <w:t>遗体处置清洗、消毒废水，专用殡仪车辆清洗、消毒废水</w:t>
                  </w:r>
                  <w:r>
                    <w:rPr>
                      <w:rFonts w:hint="eastAsia" w:hAnsi="宋体"/>
                      <w:color w:val="auto"/>
                      <w:szCs w:val="21"/>
                      <w:lang w:val="en-US" w:eastAsia="zh-CN"/>
                    </w:rPr>
                    <w:t>以及地坪清洗废水中的直接冲洗废水</w:t>
                  </w:r>
                  <w:r>
                    <w:rPr>
                      <w:rFonts w:hint="eastAsia" w:hAnsi="宋体"/>
                      <w:color w:val="auto"/>
                      <w:szCs w:val="21"/>
                      <w:lang w:eastAsia="zh-CN"/>
                    </w:rPr>
                    <w:t>，</w:t>
                  </w:r>
                  <w:r>
                    <w:rPr>
                      <w:rFonts w:hint="eastAsia" w:hAnsi="宋体"/>
                      <w:color w:val="auto"/>
                      <w:szCs w:val="21"/>
                    </w:rPr>
                    <w:t>经消毒池预处理后</w:t>
                  </w:r>
                  <w:r>
                    <w:rPr>
                      <w:rFonts w:hint="eastAsia" w:hAnsi="宋体"/>
                      <w:color w:val="auto"/>
                      <w:szCs w:val="21"/>
                      <w:lang w:eastAsia="zh-CN"/>
                    </w:rPr>
                    <w:t>，</w:t>
                  </w:r>
                  <w:r>
                    <w:rPr>
                      <w:rFonts w:hint="eastAsia" w:hAnsi="宋体"/>
                      <w:color w:val="auto"/>
                      <w:szCs w:val="21"/>
                    </w:rPr>
                    <w:t>与其他生活污水一同进入自建污水处理站处理；废水经污水处理站处理后非采暖期（5月至10月）可用于道路浇洒及绿化浇灌，采暖期（11月-4月）定期统一</w:t>
                  </w:r>
                  <w:r>
                    <w:rPr>
                      <w:rFonts w:hint="eastAsia" w:hAnsi="宋体"/>
                      <w:bCs/>
                      <w:color w:val="auto"/>
                      <w:szCs w:val="21"/>
                    </w:rPr>
                    <w:t>由罐车</w:t>
                  </w:r>
                  <w:r>
                    <w:rPr>
                      <w:rFonts w:hint="eastAsia" w:hAnsi="宋体"/>
                      <w:color w:val="auto"/>
                      <w:szCs w:val="21"/>
                    </w:rPr>
                    <w:t>抽送至五台县生活污水处理厂。</w:t>
                  </w:r>
                </w:p>
              </w:tc>
              <w:tc>
                <w:tcPr>
                  <w:tcW w:w="529"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958"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color w:val="auto"/>
                      <w:sz w:val="21"/>
                      <w:szCs w:val="18"/>
                    </w:rPr>
                  </w:pPr>
                  <w:r>
                    <w:rPr>
                      <w:rFonts w:hint="eastAsia"/>
                      <w:color w:val="auto"/>
                      <w:sz w:val="21"/>
                      <w:szCs w:val="18"/>
                    </w:rPr>
                    <w:t>殡仪车辆清洗、消毒废水</w:t>
                  </w:r>
                </w:p>
              </w:tc>
              <w:tc>
                <w:tcPr>
                  <w:tcW w:w="826" w:type="pct"/>
                  <w:vMerge w:val="continue"/>
                  <w:vAlign w:val="center"/>
                </w:tcPr>
                <w:p>
                  <w:pPr>
                    <w:keepNext w:val="0"/>
                    <w:keepLines w:val="0"/>
                    <w:suppressLineNumbers w:val="0"/>
                    <w:spacing w:before="0" w:beforeAutospacing="0" w:after="0" w:afterAutospacing="0"/>
                    <w:ind w:left="0" w:right="0"/>
                    <w:jc w:val="center"/>
                    <w:rPr>
                      <w:rFonts w:hint="eastAsia"/>
                      <w:color w:val="auto"/>
                      <w:szCs w:val="21"/>
                    </w:rPr>
                  </w:pPr>
                </w:p>
              </w:tc>
              <w:tc>
                <w:tcPr>
                  <w:tcW w:w="2291" w:type="pct"/>
                  <w:vMerge w:val="continue"/>
                  <w:vAlign w:val="center"/>
                </w:tcPr>
                <w:p>
                  <w:pPr>
                    <w:keepNext w:val="0"/>
                    <w:keepLines w:val="0"/>
                    <w:suppressLineNumbers w:val="0"/>
                    <w:spacing w:before="0" w:beforeAutospacing="0" w:after="0" w:afterAutospacing="0"/>
                    <w:ind w:left="0" w:right="0"/>
                    <w:jc w:val="left"/>
                    <w:rPr>
                      <w:rFonts w:hint="eastAsia"/>
                      <w:color w:val="auto"/>
                      <w:szCs w:val="21"/>
                    </w:rPr>
                  </w:pPr>
                </w:p>
              </w:tc>
              <w:tc>
                <w:tcPr>
                  <w:tcW w:w="529"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958" w:type="pct"/>
                  <w:vAlign w:val="center"/>
                </w:tcPr>
                <w:p>
                  <w:pPr>
                    <w:pStyle w:val="47"/>
                    <w:keepNext w:val="0"/>
                    <w:keepLines w:val="0"/>
                    <w:suppressLineNumbers w:val="0"/>
                    <w:snapToGrid/>
                    <w:spacing w:before="0" w:beforeAutospacing="0" w:after="0" w:afterAutospacing="0" w:line="240" w:lineRule="auto"/>
                    <w:ind w:left="0" w:right="0" w:firstLine="0" w:firstLineChars="0"/>
                    <w:jc w:val="center"/>
                    <w:rPr>
                      <w:rFonts w:hint="eastAsia" w:hAnsi="宋体"/>
                      <w:bCs/>
                      <w:color w:val="auto"/>
                      <w:sz w:val="21"/>
                      <w:szCs w:val="18"/>
                    </w:rPr>
                  </w:pPr>
                  <w:r>
                    <w:rPr>
                      <w:rFonts w:hint="eastAsia"/>
                      <w:color w:val="auto"/>
                      <w:sz w:val="21"/>
                      <w:szCs w:val="18"/>
                    </w:rPr>
                    <w:t>悼念、来访人员及工作人员生活污水</w:t>
                  </w:r>
                </w:p>
              </w:tc>
              <w:tc>
                <w:tcPr>
                  <w:tcW w:w="82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2291" w:type="pct"/>
                  <w:vMerge w:val="continue"/>
                  <w:vAlign w:val="center"/>
                </w:tcPr>
                <w:p>
                  <w:pPr>
                    <w:keepNext w:val="0"/>
                    <w:keepLines w:val="0"/>
                    <w:suppressLineNumbers w:val="0"/>
                    <w:spacing w:before="0" w:beforeAutospacing="0" w:after="0" w:afterAutospacing="0"/>
                    <w:ind w:left="0" w:right="0"/>
                    <w:jc w:val="left"/>
                    <w:rPr>
                      <w:rFonts w:hint="eastAsia" w:hAnsi="宋体"/>
                      <w:color w:val="auto"/>
                      <w:szCs w:val="21"/>
                    </w:rPr>
                  </w:pPr>
                </w:p>
              </w:tc>
              <w:tc>
                <w:tcPr>
                  <w:tcW w:w="529"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固废</w:t>
                  </w: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遗体火化产生的骨灰</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bCs/>
                      <w:color w:val="auto"/>
                      <w:szCs w:val="21"/>
                    </w:rPr>
                    <w:t>骨灰在进行挑捡后由各逝者家属装进骨灰盒带走，葬入墓地或寄存于骨灰寄存楼。</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火化炉遗留的灰渣</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color w:val="auto"/>
                      <w:szCs w:val="21"/>
                    </w:rPr>
                    <w:t>火化炉遗留的灰渣</w:t>
                  </w:r>
                  <w:r>
                    <w:rPr>
                      <w:rFonts w:hint="eastAsia"/>
                      <w:color w:val="auto"/>
                      <w:szCs w:val="21"/>
                    </w:rPr>
                    <w:t>收集后与生活垃圾一起运至</w:t>
                  </w:r>
                  <w:r>
                    <w:rPr>
                      <w:rFonts w:hint="eastAsia" w:hAnsi="宋体"/>
                      <w:color w:val="auto"/>
                      <w:szCs w:val="21"/>
                    </w:rPr>
                    <w:t>市政指定的地点外协处理</w:t>
                  </w:r>
                  <w:r>
                    <w:rPr>
                      <w:rFonts w:hint="eastAsia" w:hAnsi="宋体"/>
                      <w:color w:val="auto"/>
                      <w:szCs w:val="21"/>
                      <w:lang w:eastAsia="zh-CN"/>
                    </w:rPr>
                    <w:t>，最终进入五台县生活垃圾填埋场填埋处理</w:t>
                  </w:r>
                  <w:r>
                    <w:rPr>
                      <w:rFonts w:hint="eastAsia" w:hAnsi="宋体"/>
                      <w:color w:val="auto"/>
                      <w:szCs w:val="21"/>
                    </w:rPr>
                    <w:t>。</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遗物祭品焚烧灰渣</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color w:val="auto"/>
                      <w:szCs w:val="21"/>
                    </w:rPr>
                    <w:t>遗物祭品焚烧灰渣</w:t>
                  </w:r>
                  <w:r>
                    <w:rPr>
                      <w:rFonts w:hint="eastAsia"/>
                      <w:color w:val="auto"/>
                      <w:szCs w:val="21"/>
                    </w:rPr>
                    <w:t>收集后与生活垃圾一起运至</w:t>
                  </w:r>
                  <w:r>
                    <w:rPr>
                      <w:rFonts w:hint="eastAsia" w:hAnsi="宋体"/>
                      <w:color w:val="auto"/>
                      <w:szCs w:val="21"/>
                    </w:rPr>
                    <w:t>市政指定的地点外协处理</w:t>
                  </w:r>
                  <w:r>
                    <w:rPr>
                      <w:rFonts w:hint="eastAsia" w:hAnsi="宋体"/>
                      <w:color w:val="auto"/>
                      <w:szCs w:val="21"/>
                      <w:lang w:eastAsia="zh-CN"/>
                    </w:rPr>
                    <w:t>，最终进入五台县生活垃圾填埋场填埋处理</w:t>
                  </w:r>
                  <w:r>
                    <w:rPr>
                      <w:rFonts w:hint="eastAsia" w:hAnsi="宋体"/>
                      <w:color w:val="auto"/>
                      <w:szCs w:val="21"/>
                    </w:rPr>
                    <w:t>。</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污水处理设施污泥</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color w:val="auto"/>
                      <w:szCs w:val="21"/>
                    </w:rPr>
                    <w:t>污水处理设施污泥采用消石灰干化后与</w:t>
                  </w:r>
                  <w:r>
                    <w:rPr>
                      <w:rFonts w:hint="eastAsia"/>
                      <w:color w:val="auto"/>
                      <w:szCs w:val="21"/>
                    </w:rPr>
                    <w:t>生活垃圾一起运至</w:t>
                  </w:r>
                  <w:r>
                    <w:rPr>
                      <w:rFonts w:hint="eastAsia" w:hAnsi="宋体"/>
                      <w:color w:val="auto"/>
                      <w:szCs w:val="21"/>
                    </w:rPr>
                    <w:t>市政指定的地点外协处理</w:t>
                  </w:r>
                  <w:r>
                    <w:rPr>
                      <w:rFonts w:hint="eastAsia" w:hAnsi="宋体"/>
                      <w:color w:val="auto"/>
                      <w:szCs w:val="21"/>
                      <w:lang w:eastAsia="zh-CN"/>
                    </w:rPr>
                    <w:t>，最终进入五台县生活垃圾填埋场填埋处理</w:t>
                  </w:r>
                  <w:r>
                    <w:rPr>
                      <w:rFonts w:hint="eastAsia" w:hAnsi="宋体"/>
                      <w:color w:val="auto"/>
                      <w:szCs w:val="21"/>
                    </w:rPr>
                    <w:t>。</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hAnsi="宋体"/>
                      <w:color w:val="auto"/>
                      <w:szCs w:val="21"/>
                    </w:rPr>
                  </w:pPr>
                  <w:r>
                    <w:rPr>
                      <w:rFonts w:hint="eastAsia" w:hAnsi="宋体"/>
                      <w:color w:val="auto"/>
                      <w:szCs w:val="21"/>
                    </w:rPr>
                    <w:t>污水处理设施隔油池油渣</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bCs/>
                      <w:color w:val="auto"/>
                      <w:szCs w:val="21"/>
                    </w:rPr>
                    <w:t>隔油池油渣收集后委托相关餐饮废物回收单位回收处理。</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焚烧飞灰（HW18-</w:t>
                  </w:r>
                  <w:r>
                    <w:rPr>
                      <w:rFonts w:hint="eastAsia" w:hAnsi="宋体"/>
                      <w:bCs/>
                      <w:color w:val="auto"/>
                      <w:szCs w:val="21"/>
                    </w:rPr>
                    <w:t>772-002-18</w:t>
                  </w:r>
                  <w:r>
                    <w:rPr>
                      <w:rFonts w:hint="eastAsia" w:hAnsi="宋体"/>
                      <w:color w:val="auto"/>
                      <w:szCs w:val="21"/>
                    </w:rPr>
                    <w:t>）</w:t>
                  </w:r>
                </w:p>
              </w:tc>
              <w:tc>
                <w:tcPr>
                  <w:tcW w:w="2291" w:type="pct"/>
                  <w:vMerge w:val="restar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color w:val="auto"/>
                      <w:szCs w:val="21"/>
                    </w:rPr>
                    <w:t>储存于特定容器中，暂存于危废库内，委托有相关处理资质的单位定期外协处置。</w:t>
                  </w:r>
                </w:p>
              </w:tc>
              <w:tc>
                <w:tcPr>
                  <w:tcW w:w="529" w:type="pct"/>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hAnsi="宋体"/>
                      <w:color w:val="auto"/>
                      <w:szCs w:val="21"/>
                    </w:rPr>
                  </w:pPr>
                  <w:r>
                    <w:rPr>
                      <w:rFonts w:hint="eastAsia" w:hAnsi="宋体"/>
                      <w:color w:val="auto"/>
                      <w:szCs w:val="21"/>
                    </w:rPr>
                    <w:t>废脱硫粉（HW18-772-005-18）</w:t>
                  </w:r>
                </w:p>
              </w:tc>
              <w:tc>
                <w:tcPr>
                  <w:tcW w:w="2291" w:type="pct"/>
                  <w:vMerge w:val="continue"/>
                  <w:vAlign w:val="center"/>
                </w:tcPr>
                <w:p>
                  <w:pPr>
                    <w:keepNext w:val="0"/>
                    <w:keepLines w:val="0"/>
                    <w:suppressLineNumbers w:val="0"/>
                    <w:autoSpaceDE w:val="0"/>
                    <w:autoSpaceDN w:val="0"/>
                    <w:spacing w:before="0" w:beforeAutospacing="0" w:after="0" w:afterAutospacing="0"/>
                    <w:ind w:left="0" w:right="0"/>
                    <w:jc w:val="left"/>
                    <w:rPr>
                      <w:rFonts w:hint="eastAsia" w:hAnsi="宋体"/>
                      <w:color w:val="auto"/>
                      <w:szCs w:val="21"/>
                    </w:rPr>
                  </w:pPr>
                </w:p>
              </w:tc>
              <w:tc>
                <w:tcPr>
                  <w:tcW w:w="529"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hAnsi="宋体"/>
                      <w:color w:val="auto"/>
                      <w:szCs w:val="21"/>
                    </w:rPr>
                    <w:t>废活性炭（HW18-772-005-18）</w:t>
                  </w:r>
                </w:p>
              </w:tc>
              <w:tc>
                <w:tcPr>
                  <w:tcW w:w="2291" w:type="pct"/>
                  <w:vMerge w:val="continue"/>
                  <w:vAlign w:val="center"/>
                </w:tcPr>
                <w:p>
                  <w:pPr>
                    <w:keepNext w:val="0"/>
                    <w:keepLines w:val="0"/>
                    <w:suppressLineNumbers w:val="0"/>
                    <w:autoSpaceDE w:val="0"/>
                    <w:autoSpaceDN w:val="0"/>
                    <w:spacing w:before="0" w:beforeAutospacing="0" w:after="0" w:afterAutospacing="0"/>
                    <w:ind w:left="0" w:right="0"/>
                    <w:jc w:val="left"/>
                    <w:rPr>
                      <w:rFonts w:hint="eastAsia"/>
                      <w:color w:val="auto"/>
                      <w:szCs w:val="21"/>
                    </w:rPr>
                  </w:pPr>
                </w:p>
              </w:tc>
              <w:tc>
                <w:tcPr>
                  <w:tcW w:w="529"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keepNext w:val="0"/>
                    <w:keepLines w:val="0"/>
                    <w:suppressLineNumbers w:val="0"/>
                    <w:spacing w:before="0" w:beforeAutospacing="0" w:after="0" w:afterAutospacing="0"/>
                    <w:ind w:left="0" w:right="0"/>
                    <w:jc w:val="center"/>
                    <w:rPr>
                      <w:rFonts w:hint="eastAsia"/>
                      <w:bCs/>
                      <w:color w:val="auto"/>
                      <w:szCs w:val="21"/>
                    </w:rPr>
                  </w:pPr>
                </w:p>
              </w:tc>
              <w:tc>
                <w:tcPr>
                  <w:tcW w:w="1784" w:type="pct"/>
                  <w:gridSpan w:val="2"/>
                  <w:vAlign w:val="center"/>
                </w:tcPr>
                <w:p>
                  <w:pPr>
                    <w:keepNext w:val="0"/>
                    <w:keepLines w:val="0"/>
                    <w:suppressLineNumbers w:val="0"/>
                    <w:spacing w:before="0" w:beforeAutospacing="0" w:after="0" w:afterAutospacing="0"/>
                    <w:ind w:left="0" w:right="0"/>
                    <w:jc w:val="center"/>
                    <w:rPr>
                      <w:rFonts w:hint="eastAsia" w:hAnsi="宋体"/>
                      <w:color w:val="auto"/>
                      <w:szCs w:val="21"/>
                    </w:rPr>
                  </w:pPr>
                  <w:r>
                    <w:rPr>
                      <w:rFonts w:hint="eastAsia" w:hAnsi="宋体"/>
                      <w:color w:val="auto"/>
                      <w:szCs w:val="21"/>
                    </w:rPr>
                    <w:t>生活垃圾</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color w:val="auto"/>
                      <w:szCs w:val="21"/>
                    </w:rPr>
                  </w:pPr>
                  <w:r>
                    <w:rPr>
                      <w:rFonts w:hint="eastAsia" w:hAnsi="宋体"/>
                      <w:color w:val="auto"/>
                      <w:szCs w:val="21"/>
                    </w:rPr>
                    <w:t>设置垃圾筒，垃圾经收集后运至市政指定的地点外协处理。</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生态</w:t>
                  </w:r>
                </w:p>
              </w:tc>
              <w:tc>
                <w:tcPr>
                  <w:tcW w:w="1784" w:type="pct"/>
                  <w:gridSpan w:val="2"/>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绿化</w:t>
                  </w:r>
                </w:p>
              </w:tc>
              <w:tc>
                <w:tcPr>
                  <w:tcW w:w="2291" w:type="pct"/>
                  <w:vAlign w:val="center"/>
                </w:tcPr>
                <w:p>
                  <w:pPr>
                    <w:keepNext w:val="0"/>
                    <w:keepLines w:val="0"/>
                    <w:suppressLineNumbers w:val="0"/>
                    <w:autoSpaceDE w:val="0"/>
                    <w:autoSpaceDN w:val="0"/>
                    <w:spacing w:before="0" w:beforeAutospacing="0" w:after="0" w:afterAutospacing="0"/>
                    <w:ind w:left="0" w:right="0"/>
                    <w:jc w:val="both"/>
                    <w:rPr>
                      <w:rFonts w:hint="eastAsia" w:hAnsi="宋体"/>
                      <w:color w:val="auto"/>
                      <w:szCs w:val="21"/>
                    </w:rPr>
                  </w:pPr>
                  <w:r>
                    <w:rPr>
                      <w:rFonts w:hint="eastAsia" w:hAnsi="宋体"/>
                      <w:bCs/>
                      <w:color w:val="auto"/>
                      <w:szCs w:val="21"/>
                    </w:rPr>
                    <w:t>加强绿化，种植乡土植物，绿化面积</w:t>
                  </w:r>
                  <w:r>
                    <w:rPr>
                      <w:rFonts w:hint="eastAsia"/>
                      <w:bCs/>
                      <w:color w:val="auto"/>
                      <w:lang w:val="en-US" w:eastAsia="zh-CN"/>
                    </w:rPr>
                    <w:t>8093.05</w:t>
                  </w:r>
                  <w:r>
                    <w:rPr>
                      <w:rFonts w:hint="eastAsia" w:hAnsi="宋体"/>
                      <w:bCs/>
                      <w:color w:val="auto"/>
                      <w:szCs w:val="21"/>
                    </w:rPr>
                    <w:t>m</w:t>
                  </w:r>
                  <w:r>
                    <w:rPr>
                      <w:rFonts w:hint="eastAsia" w:hAnsi="宋体"/>
                      <w:bCs/>
                      <w:color w:val="auto"/>
                      <w:szCs w:val="21"/>
                      <w:vertAlign w:val="superscript"/>
                    </w:rPr>
                    <w:t>2</w:t>
                  </w:r>
                  <w:r>
                    <w:rPr>
                      <w:rFonts w:hint="eastAsia" w:hAnsi="宋体"/>
                      <w:bCs/>
                      <w:color w:val="auto"/>
                      <w:szCs w:val="21"/>
                    </w:rPr>
                    <w:t>。</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噪声</w:t>
                  </w:r>
                </w:p>
              </w:tc>
              <w:tc>
                <w:tcPr>
                  <w:tcW w:w="1784" w:type="pct"/>
                  <w:gridSpan w:val="2"/>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设备</w:t>
                  </w:r>
                  <w:r>
                    <w:rPr>
                      <w:rFonts w:hint="eastAsia"/>
                      <w:bCs/>
                      <w:color w:val="auto"/>
                      <w:szCs w:val="21"/>
                    </w:rPr>
                    <w:t>噪声，</w:t>
                  </w:r>
                  <w:r>
                    <w:rPr>
                      <w:rFonts w:hint="eastAsia"/>
                      <w:color w:val="auto"/>
                      <w:szCs w:val="21"/>
                      <w:lang w:bidi="ar"/>
                    </w:rPr>
                    <w:t>悼念活动噪声</w:t>
                  </w:r>
                </w:p>
              </w:tc>
              <w:tc>
                <w:tcPr>
                  <w:tcW w:w="2291" w:type="pct"/>
                  <w:vAlign w:val="center"/>
                </w:tcPr>
                <w:p>
                  <w:pPr>
                    <w:keepNext w:val="0"/>
                    <w:keepLines w:val="0"/>
                    <w:suppressLineNumbers w:val="0"/>
                    <w:spacing w:before="0" w:beforeAutospacing="0" w:after="0" w:afterAutospacing="0"/>
                    <w:ind w:left="0" w:right="0"/>
                    <w:jc w:val="both"/>
                    <w:rPr>
                      <w:rFonts w:hint="eastAsia"/>
                      <w:color w:val="auto"/>
                      <w:szCs w:val="21"/>
                    </w:rPr>
                  </w:pPr>
                  <w:r>
                    <w:rPr>
                      <w:rFonts w:hint="eastAsia"/>
                      <w:bCs/>
                      <w:color w:val="auto"/>
                      <w:spacing w:val="4"/>
                      <w:szCs w:val="21"/>
                    </w:rPr>
                    <w:t>选用低噪声设备，隔声、基础减振，定期维护；加强管理。</w:t>
                  </w:r>
                </w:p>
              </w:tc>
              <w:tc>
                <w:tcPr>
                  <w:tcW w:w="529" w:type="pc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1" w:type="pct"/>
                  <w:gridSpan w:val="4"/>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合计</w:t>
                  </w:r>
                </w:p>
              </w:tc>
              <w:tc>
                <w:tcPr>
                  <w:tcW w:w="529" w:type="pct"/>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eastAsia"/>
                      <w:bCs/>
                      <w:color w:val="auto"/>
                      <w:szCs w:val="21"/>
                      <w:lang w:val="en-US" w:eastAsia="zh-CN"/>
                    </w:rPr>
                    <w:t>115</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综上，本项目环保投资为</w:t>
            </w:r>
            <w:r>
              <w:rPr>
                <w:rFonts w:hint="eastAsia"/>
                <w:color w:val="auto"/>
                <w:sz w:val="24"/>
                <w:lang w:val="en-US" w:eastAsia="zh-CN"/>
              </w:rPr>
              <w:t>11</w:t>
            </w:r>
            <w:r>
              <w:rPr>
                <w:rFonts w:hint="eastAsia"/>
                <w:color w:val="auto"/>
                <w:sz w:val="24"/>
              </w:rPr>
              <w:t>5万元，占总投资的</w:t>
            </w:r>
            <w:r>
              <w:rPr>
                <w:rFonts w:hint="eastAsia"/>
                <w:color w:val="auto"/>
                <w:sz w:val="24"/>
                <w:lang w:val="en-US" w:eastAsia="zh-CN"/>
              </w:rPr>
              <w:t>2.96</w:t>
            </w:r>
            <w:r>
              <w:rPr>
                <w:rFonts w:hint="eastAsia"/>
                <w:color w:val="auto"/>
                <w:sz w:val="24"/>
              </w:rPr>
              <w:t>%。</w:t>
            </w:r>
          </w:p>
        </w:tc>
      </w:tr>
    </w:tbl>
    <w:p>
      <w:pPr>
        <w:adjustRightInd w:val="0"/>
        <w:snapToGrid w:val="0"/>
        <w:spacing w:line="360" w:lineRule="auto"/>
        <w:rPr>
          <w:rFonts w:ascii="宋体" w:cs="宋体"/>
          <w:b/>
          <w:color w:val="auto"/>
          <w:kern w:val="0"/>
          <w:sz w:val="28"/>
          <w:szCs w:val="28"/>
        </w:rPr>
        <w:sectPr>
          <w:pgSz w:w="11907" w:h="16840"/>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7" w:name="_Hlk54167917"/>
      <w:r>
        <w:rPr>
          <w:rFonts w:hint="eastAsia" w:ascii="黑体" w:hAnsi="黑体" w:eastAsia="黑体"/>
          <w:snapToGrid w:val="0"/>
          <w:color w:val="auto"/>
          <w:sz w:val="30"/>
          <w:szCs w:val="30"/>
        </w:rPr>
        <w:t>环境保护措施监督检查清单</w:t>
      </w:r>
      <w:bookmarkEnd w:id="7"/>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8"/>
        <w:gridCol w:w="2022"/>
        <w:gridCol w:w="1587"/>
        <w:gridCol w:w="490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tcBorders>
              <w:tl2br w:val="single" w:color="auto" w:sz="4" w:space="0"/>
            </w:tcBorders>
          </w:tcPr>
          <w:p>
            <w:pPr>
              <w:keepNext w:val="0"/>
              <w:keepLines w:val="0"/>
              <w:suppressLineNumbers w:val="0"/>
              <w:adjustRightInd w:val="0"/>
              <w:snapToGrid w:val="0"/>
              <w:spacing w:before="0" w:beforeAutospacing="0" w:after="0" w:afterAutospacing="0" w:line="360" w:lineRule="exact"/>
              <w:ind w:left="0" w:right="0" w:firstLine="840" w:firstLineChars="400"/>
              <w:jc w:val="righ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名称)/污染源</w:t>
            </w:r>
          </w:p>
        </w:tc>
        <w:tc>
          <w:tcPr>
            <w:tcW w:w="558"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污染物项目</w:t>
            </w:r>
          </w:p>
        </w:tc>
        <w:tc>
          <w:tcPr>
            <w:tcW w:w="1723"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1000"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restar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火化机废气</w:t>
            </w:r>
          </w:p>
        </w:tc>
        <w:tc>
          <w:tcPr>
            <w:tcW w:w="558"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烟尘、SO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、NO</w:t>
            </w:r>
            <w:r>
              <w:rPr>
                <w:rFonts w:hint="default" w:ascii="Times New Roman" w:hAnsi="Times New Roman" w:cs="Times New Roman"/>
                <w:bCs/>
                <w:color w:val="auto"/>
                <w:sz w:val="21"/>
                <w:szCs w:val="21"/>
                <w:vertAlign w:val="subscript"/>
              </w:rPr>
              <w:t>x</w:t>
            </w:r>
            <w:r>
              <w:rPr>
                <w:rFonts w:hint="default" w:ascii="Times New Roman" w:hAnsi="Times New Roman" w:cs="Times New Roman"/>
                <w:bCs/>
                <w:color w:val="auto"/>
                <w:sz w:val="21"/>
                <w:szCs w:val="21"/>
              </w:rPr>
              <w:t>、CO、HCl、汞、二噁英类</w:t>
            </w:r>
          </w:p>
        </w:tc>
        <w:tc>
          <w:tcPr>
            <w:tcW w:w="1723" w:type="pct"/>
            <w:vAlign w:val="center"/>
          </w:tcPr>
          <w:p>
            <w:pPr>
              <w:pStyle w:val="47"/>
              <w:keepNext w:val="0"/>
              <w:keepLines w:val="0"/>
              <w:suppressLineNumbers w:val="0"/>
              <w:snapToGrid/>
              <w:spacing w:before="0" w:beforeAutospacing="0" w:after="0" w:afterAutospacing="0" w:line="360" w:lineRule="exact"/>
              <w:ind w:left="0" w:right="0"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3台节能环保火化机分别单独配置一套废气处理设施+1根12m高排气筒；共3套废气处理设施，3根排气筒。</w:t>
            </w:r>
          </w:p>
          <w:p>
            <w:pPr>
              <w:keepNext w:val="0"/>
              <w:keepLines w:val="0"/>
              <w:suppressLineNumbers w:val="0"/>
              <w:adjustRightInd w:val="0"/>
              <w:snapToGrid w:val="0"/>
              <w:spacing w:before="0" w:beforeAutospacing="0" w:after="0" w:afterAutospacing="0" w:line="360" w:lineRule="exact"/>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烟气净化采用急冷装置+半干法脱硫+活性炭喷射+布袋除尘器+活性炭吸附组合方案。</w:t>
            </w:r>
          </w:p>
        </w:tc>
        <w:tc>
          <w:tcPr>
            <w:tcW w:w="1000"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《火葬场大气污染物排放标准》（GB13801-2015）中表2新建单位遗体火化大气污染物排放限值要求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遗物祭品焚烧炉废气</w:t>
            </w:r>
          </w:p>
        </w:tc>
        <w:tc>
          <w:tcPr>
            <w:tcW w:w="558"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烟尘、SO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、NO</w:t>
            </w:r>
            <w:r>
              <w:rPr>
                <w:rFonts w:hint="default" w:ascii="Times New Roman" w:hAnsi="Times New Roman" w:cs="Times New Roman"/>
                <w:bCs/>
                <w:color w:val="auto"/>
                <w:sz w:val="21"/>
                <w:szCs w:val="21"/>
                <w:vertAlign w:val="subscript"/>
              </w:rPr>
              <w:t>x</w:t>
            </w:r>
            <w:r>
              <w:rPr>
                <w:rFonts w:hint="default" w:ascii="Times New Roman" w:hAnsi="Times New Roman" w:cs="Times New Roman"/>
                <w:bCs/>
                <w:color w:val="auto"/>
                <w:sz w:val="21"/>
                <w:szCs w:val="21"/>
              </w:rPr>
              <w:t>、CO、HCl、二噁英类</w:t>
            </w:r>
          </w:p>
        </w:tc>
        <w:tc>
          <w:tcPr>
            <w:tcW w:w="1723" w:type="pct"/>
            <w:vAlign w:val="center"/>
          </w:tcPr>
          <w:p>
            <w:pPr>
              <w:pStyle w:val="47"/>
              <w:keepNext w:val="0"/>
              <w:keepLines w:val="0"/>
              <w:suppressLineNumbers w:val="0"/>
              <w:snapToGrid/>
              <w:spacing w:before="0" w:beforeAutospacing="0" w:after="0" w:afterAutospacing="0" w:line="360" w:lineRule="exact"/>
              <w:ind w:left="0" w:right="0"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遗物祭品焚烧炉单独配置一套废气处理设施+1根12m高排气筒。</w:t>
            </w:r>
          </w:p>
          <w:p>
            <w:pPr>
              <w:keepNext w:val="0"/>
              <w:keepLines w:val="0"/>
              <w:suppressLineNumbers w:val="0"/>
              <w:adjustRightInd w:val="0"/>
              <w:snapToGrid w:val="0"/>
              <w:spacing w:before="0" w:beforeAutospacing="0" w:after="0" w:afterAutospacing="0" w:line="360" w:lineRule="exact"/>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烟气净化采用急冷装置+半干法脱硫+活性炭喷射+布袋除尘器+活性炭吸附组合方案。</w:t>
            </w:r>
          </w:p>
        </w:tc>
        <w:tc>
          <w:tcPr>
            <w:tcW w:w="1000"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《火葬场大气污染物排放标准》（GB13801-2015）中表3遗物祭品焚烧大气污染物排放限值要求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restar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遗体处置清洗、消毒废水</w:t>
            </w:r>
          </w:p>
        </w:tc>
        <w:tc>
          <w:tcPr>
            <w:tcW w:w="558" w:type="pct"/>
            <w:vMerge w:val="restar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COD、BOD、氨氮、SS等</w:t>
            </w:r>
          </w:p>
        </w:tc>
        <w:tc>
          <w:tcPr>
            <w:tcW w:w="1723" w:type="pct"/>
            <w:vMerge w:val="restart"/>
            <w:vAlign w:val="center"/>
          </w:tcPr>
          <w:p>
            <w:pPr>
              <w:keepNext w:val="0"/>
              <w:keepLines w:val="0"/>
              <w:suppressLineNumbers w:val="0"/>
              <w:adjustRightInd w:val="0"/>
              <w:snapToGrid w:val="0"/>
              <w:spacing w:before="0" w:beforeAutospacing="0" w:after="0" w:afterAutospacing="0" w:line="360" w:lineRule="exact"/>
              <w:ind w:left="0" w:right="0"/>
              <w:jc w:val="both"/>
              <w:rPr>
                <w:rFonts w:hint="default" w:ascii="Times New Roman" w:hAnsi="Times New Roman" w:cs="Times New Roman"/>
                <w:color w:val="auto"/>
                <w:sz w:val="21"/>
                <w:szCs w:val="21"/>
              </w:rPr>
            </w:pPr>
            <w:r>
              <w:rPr>
                <w:rFonts w:hint="eastAsia" w:hAnsi="宋体"/>
                <w:color w:val="auto"/>
                <w:szCs w:val="21"/>
              </w:rPr>
              <w:t>遗体处置清洗、消毒废水，专用殡仪车辆清洗、消毒废水</w:t>
            </w:r>
            <w:r>
              <w:rPr>
                <w:rFonts w:hint="eastAsia" w:hAnsi="宋体"/>
                <w:color w:val="auto"/>
                <w:szCs w:val="21"/>
                <w:lang w:val="en-US" w:eastAsia="zh-CN"/>
              </w:rPr>
              <w:t>以及地坪清洗废水中的直接冲洗废水</w:t>
            </w:r>
            <w:r>
              <w:rPr>
                <w:rFonts w:hint="eastAsia" w:hAnsi="宋体"/>
                <w:color w:val="auto"/>
                <w:szCs w:val="21"/>
                <w:lang w:eastAsia="zh-CN"/>
              </w:rPr>
              <w:t>，</w:t>
            </w:r>
            <w:r>
              <w:rPr>
                <w:rFonts w:hint="eastAsia" w:hAnsi="宋体"/>
                <w:color w:val="auto"/>
                <w:szCs w:val="21"/>
              </w:rPr>
              <w:t>经消毒池预处理后</w:t>
            </w:r>
            <w:r>
              <w:rPr>
                <w:rFonts w:hint="eastAsia" w:hAnsi="宋体"/>
                <w:color w:val="auto"/>
                <w:szCs w:val="21"/>
                <w:lang w:eastAsia="zh-CN"/>
              </w:rPr>
              <w:t>，</w:t>
            </w:r>
            <w:r>
              <w:rPr>
                <w:rFonts w:hint="eastAsia" w:hAnsi="宋体"/>
                <w:color w:val="auto"/>
                <w:szCs w:val="21"/>
              </w:rPr>
              <w:t>与其他生活污水一同进入自建污水处理站处理；</w:t>
            </w:r>
            <w:r>
              <w:rPr>
                <w:rFonts w:hint="default" w:ascii="Times New Roman" w:hAnsi="Times New Roman" w:cs="Times New Roman"/>
                <w:color w:val="auto"/>
                <w:sz w:val="21"/>
                <w:szCs w:val="21"/>
              </w:rPr>
              <w:t>废水经污水处理站处理后非采暖期（5月至10月）可用于道路浇洒及绿化浇灌，采暖期（11月-4月）定期统一</w:t>
            </w:r>
            <w:r>
              <w:rPr>
                <w:rFonts w:hint="default" w:ascii="Times New Roman" w:hAnsi="Times New Roman" w:cs="Times New Roman"/>
                <w:bCs/>
                <w:color w:val="auto"/>
                <w:sz w:val="21"/>
                <w:szCs w:val="21"/>
              </w:rPr>
              <w:t>由罐车</w:t>
            </w:r>
            <w:r>
              <w:rPr>
                <w:rFonts w:hint="default" w:ascii="Times New Roman" w:hAnsi="Times New Roman" w:cs="Times New Roman"/>
                <w:color w:val="auto"/>
                <w:sz w:val="21"/>
                <w:szCs w:val="21"/>
              </w:rPr>
              <w:t>抽送至五台县生活污水处理厂。</w:t>
            </w:r>
          </w:p>
        </w:tc>
        <w:tc>
          <w:tcPr>
            <w:tcW w:w="1000" w:type="pct"/>
            <w:vMerge w:val="restar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《城市污水再生利用 城市杂用水水质》（GB18920-2020）中城市绿化水质标准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专用殡仪车辆清洗、消毒废水</w:t>
            </w:r>
          </w:p>
        </w:tc>
        <w:tc>
          <w:tcPr>
            <w:tcW w:w="558"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1723"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1000"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来访人员及工作人员生活污水</w:t>
            </w:r>
          </w:p>
        </w:tc>
        <w:tc>
          <w:tcPr>
            <w:tcW w:w="558"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1723"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c>
          <w:tcPr>
            <w:tcW w:w="1000" w:type="pct"/>
            <w:vMerge w:val="continue"/>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w:t>
            </w:r>
            <w:r>
              <w:rPr>
                <w:rFonts w:hint="default" w:ascii="Times New Roman" w:hAnsi="Times New Roman" w:cs="Times New Roman"/>
                <w:bCs/>
                <w:color w:val="auto"/>
                <w:sz w:val="21"/>
                <w:szCs w:val="21"/>
              </w:rPr>
              <w:t>噪声，</w:t>
            </w:r>
            <w:r>
              <w:rPr>
                <w:rFonts w:hint="default" w:ascii="Times New Roman" w:hAnsi="Times New Roman" w:cs="Times New Roman"/>
                <w:color w:val="auto"/>
                <w:sz w:val="21"/>
                <w:szCs w:val="21"/>
                <w:lang w:bidi="ar"/>
              </w:rPr>
              <w:t>悼念活动噪声</w:t>
            </w:r>
          </w:p>
        </w:tc>
        <w:tc>
          <w:tcPr>
            <w:tcW w:w="558"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723"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pacing w:val="4"/>
                <w:sz w:val="21"/>
                <w:szCs w:val="21"/>
              </w:rPr>
              <w:t>选用低噪声设备，隔声、基础减振，定期维护；加强管理。</w:t>
            </w:r>
          </w:p>
        </w:tc>
        <w:tc>
          <w:tcPr>
            <w:tcW w:w="1000"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711"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8"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23"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0"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3991" w:type="pct"/>
            <w:gridSpan w:val="4"/>
            <w:vAlign w:val="center"/>
          </w:tcPr>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①一般固废：遗体火化产生的骨灰</w:t>
            </w:r>
            <w:r>
              <w:rPr>
                <w:rFonts w:hint="default" w:ascii="Times New Roman" w:hAnsi="Times New Roman" w:cs="Times New Roman"/>
                <w:bCs/>
                <w:color w:val="auto"/>
                <w:sz w:val="21"/>
                <w:szCs w:val="21"/>
              </w:rPr>
              <w:t>在进行挑捡后由各逝者家属装进骨灰盒带走，葬入墓地或寄存于骨灰寄存楼；火化炉遗留的灰渣、遗物祭品焚烧灰渣、采用消石灰干化后生活污水处理站污泥收集后与生活垃圾一起运至市政指定的地点统一处理</w:t>
            </w:r>
            <w:r>
              <w:rPr>
                <w:rFonts w:hint="eastAsia" w:hAnsi="宋体"/>
                <w:color w:val="auto"/>
                <w:szCs w:val="21"/>
                <w:lang w:eastAsia="zh-CN"/>
              </w:rPr>
              <w:t>，最终进入五台县生活垃圾填埋场填埋处理</w:t>
            </w:r>
            <w:r>
              <w:rPr>
                <w:rFonts w:hint="default" w:ascii="Times New Roman" w:hAnsi="Times New Roman" w:cs="Times New Roman"/>
                <w:bCs/>
                <w:color w:val="auto"/>
                <w:sz w:val="21"/>
                <w:szCs w:val="21"/>
              </w:rPr>
              <w:t>；隔油池油渣收集后委托相关餐饮废物回收单位回收处理。</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②危险废物：</w:t>
            </w:r>
            <w:r>
              <w:rPr>
                <w:rFonts w:hint="default" w:ascii="Times New Roman" w:hAnsi="Times New Roman" w:cs="Times New Roman"/>
                <w:color w:val="auto"/>
                <w:sz w:val="21"/>
                <w:szCs w:val="21"/>
              </w:rPr>
              <w:t>焚烧飞灰、废脱硫粉、废活性炭为危险废物，储存于特定容器中，暂存于危废暂存间内，委托有相关处理资质的单位定期外协处置；</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③生活垃圾：设置垃圾筒，垃圾经收集后运至市政指定的地点统一处理。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c>
          <w:tcPr>
            <w:tcW w:w="3991" w:type="pct"/>
            <w:gridSpan w:val="4"/>
            <w:vAlign w:val="center"/>
          </w:tcPr>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①厂区进行硬化；建成具有防水、防渗、防流失的专用危险废物贮存设施贮存危险废物；危险废物贮存设施基础必须防渗，防渗层为至少1米厚粘土层（渗透系数≤10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厘米/秒），或2毫米厚高密度聚乙烯，或至少2毫米厚的其它人工材料，渗透系数≤10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厘米/秒；</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②加强火化机、遗物祭品焚烧炉烟气处理系统维护，确保HCl、汞、二噁英类等污染物达标排放。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3991" w:type="pct"/>
            <w:gridSpan w:val="4"/>
            <w:vAlign w:val="center"/>
          </w:tcPr>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3991" w:type="pct"/>
            <w:gridSpan w:val="4"/>
            <w:vAlign w:val="center"/>
          </w:tcPr>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lang w:bidi="en-US"/>
              </w:rPr>
            </w:pPr>
            <w:r>
              <w:rPr>
                <w:rFonts w:hint="default" w:ascii="Times New Roman" w:hAnsi="Times New Roman" w:cs="Times New Roman"/>
                <w:color w:val="auto"/>
                <w:sz w:val="21"/>
                <w:szCs w:val="21"/>
                <w:lang w:bidi="en-US"/>
              </w:rPr>
              <w:t>①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lang w:bidi="en-US"/>
              </w:rPr>
            </w:pPr>
            <w:r>
              <w:rPr>
                <w:rFonts w:hint="default" w:ascii="Times New Roman" w:hAnsi="Times New Roman" w:cs="Times New Roman"/>
                <w:color w:val="auto"/>
                <w:sz w:val="21"/>
                <w:szCs w:val="21"/>
                <w:lang w:bidi="en-US"/>
              </w:rPr>
              <w:t xml:space="preserve">②火化间和柴油储存区内应配备灭火器、消防砂箱和防毒面具等消防应急设备，并定期检查设备有效性； </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lang w:bidi="en-US"/>
              </w:rPr>
            </w:pPr>
            <w:r>
              <w:rPr>
                <w:rFonts w:hint="default" w:ascii="Times New Roman" w:hAnsi="Times New Roman" w:cs="Times New Roman"/>
                <w:color w:val="auto"/>
                <w:sz w:val="21"/>
                <w:szCs w:val="21"/>
                <w:lang w:bidi="en-US"/>
              </w:rPr>
              <w:t>③事故处理完毕后将泄漏液转移至槽车或专用的收集容器内，再做进一步处置。</w:t>
            </w:r>
          </w:p>
          <w:p>
            <w:pPr>
              <w:keepNext w:val="0"/>
              <w:keepLines w:val="0"/>
              <w:suppressLineNumbers w:val="0"/>
              <w:adjustRightInd w:val="0"/>
              <w:snapToGrid w:val="0"/>
              <w:spacing w:before="0" w:beforeAutospacing="0" w:after="0" w:afterAutospacing="0" w:line="3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09" w:type="pct"/>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3991" w:type="pct"/>
            <w:gridSpan w:val="4"/>
            <w:vAlign w:val="center"/>
          </w:tcPr>
          <w:p>
            <w:pPr>
              <w:keepNext w:val="0"/>
              <w:keepLines w:val="0"/>
              <w:suppressLineNumbers w:val="0"/>
              <w:adjustRightInd w:val="0"/>
              <w:snapToGrid w:val="0"/>
              <w:spacing w:before="0" w:beforeAutospacing="0" w:after="0" w:afterAutospacing="0" w:line="480" w:lineRule="exact"/>
              <w:ind w:left="0" w:right="0"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b/>
                <w:color w:val="auto"/>
                <w:sz w:val="21"/>
                <w:szCs w:val="21"/>
              </w:rPr>
              <w:t>环境管理计划</w:t>
            </w:r>
          </w:p>
          <w:p>
            <w:pPr>
              <w:keepNext w:val="0"/>
              <w:keepLines w:val="0"/>
              <w:suppressLineNumbers w:val="0"/>
              <w:adjustRightInd w:val="0"/>
              <w:snapToGrid w:val="0"/>
              <w:spacing w:before="0" w:beforeAutospacing="0" w:after="0" w:afterAutospacing="0" w:line="480" w:lineRule="exact"/>
              <w:ind w:left="0" w:right="0" w:firstLine="420" w:firstLineChars="200"/>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本工程环境管理工作计划见表5-1。</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黑体" w:cs="Times New Roman"/>
                <w:bCs/>
                <w:color w:val="auto"/>
                <w:sz w:val="21"/>
                <w:szCs w:val="21"/>
              </w:rPr>
            </w:pP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黑体" w:cs="Times New Roman"/>
                <w:bCs/>
                <w:color w:val="auto"/>
                <w:sz w:val="21"/>
                <w:szCs w:val="21"/>
              </w:rPr>
            </w:pP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黑体" w:cs="Times New Roman"/>
                <w:bCs/>
                <w:color w:val="auto"/>
                <w:sz w:val="21"/>
                <w:szCs w:val="21"/>
              </w:rPr>
            </w:pPr>
            <w:r>
              <w:rPr>
                <w:rFonts w:hint="default" w:ascii="Times New Roman" w:hAnsi="Times New Roman" w:eastAsia="黑体" w:cs="Times New Roman"/>
                <w:bCs/>
                <w:color w:val="auto"/>
                <w:sz w:val="21"/>
                <w:szCs w:val="21"/>
              </w:rPr>
              <w:t>表5-1  环境管理工作计划表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4" w:type="pct"/>
                  <w:vAlign w:val="center"/>
                </w:tcPr>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阶段</w:t>
                  </w:r>
                </w:p>
              </w:tc>
              <w:tc>
                <w:tcPr>
                  <w:tcW w:w="3946" w:type="pct"/>
                  <w:vAlign w:val="center"/>
                </w:tcPr>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环境管理</w:t>
                  </w:r>
                </w:p>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机构的职能</w:t>
                  </w:r>
                </w:p>
              </w:tc>
              <w:tc>
                <w:tcPr>
                  <w:tcW w:w="3946" w:type="pct"/>
                  <w:vAlign w:val="center"/>
                </w:tcPr>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根据国家建设目环境管理规定，认真落实各项环保手续，完成各级环保主管部门对企业提出的环境要求，对企业内部各项管理计划的执行及完成情况进行监督，确保环境管理工作真正发挥作用。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建设期</w:t>
                  </w:r>
                </w:p>
              </w:tc>
              <w:tc>
                <w:tcPr>
                  <w:tcW w:w="3946" w:type="pct"/>
                  <w:vAlign w:val="center"/>
                </w:tcPr>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1、合理选址，减少用地。</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2、施工便道定期洒水。</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3、临时建筑拆除、临时用地恢复绿化。</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4、路基防护与加固</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5、在居民住宅附近，夜间严禁进行打桩等噪声大的施工作业。</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6、施工营地加强环境管理，提供合适的生活场所。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试运行期</w:t>
                  </w:r>
                </w:p>
              </w:tc>
              <w:tc>
                <w:tcPr>
                  <w:tcW w:w="3946" w:type="pct"/>
                  <w:vAlign w:val="center"/>
                </w:tcPr>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1、申领排污许可证。</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2、对噪声防治效果进行检测。</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3、对各设施不定期进行检查。</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4、记录各项环保设施的试运行状况，针对出现问题提出完善意见。</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5、总结试运行期的生产经验，健全前期制定各项管理制度。</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6、生产装置生产三个月内，进行环保设施的竣工验收。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生产运行期</w:t>
                  </w:r>
                </w:p>
              </w:tc>
              <w:tc>
                <w:tcPr>
                  <w:tcW w:w="3946" w:type="pct"/>
                  <w:vAlign w:val="center"/>
                </w:tcPr>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1、严格执行各项生产及环境管理制度，保证生产的正常进行。</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2、设立环保设施运行卡，对环保设施定期进行检查维护，做到勤查、勤记、勤养护。</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3、按照监测计划组织厂内的污染源监测，对不达标装置立即寻找原因，及时处理。</w:t>
                  </w:r>
                </w:p>
                <w:p>
                  <w:pPr>
                    <w:pStyle w:val="11"/>
                    <w:keepNext w:val="0"/>
                    <w:keepLines w:val="0"/>
                    <w:suppressLineNumbers w:val="0"/>
                    <w:spacing w:before="0" w:beforeAutospacing="0" w:after="0" w:afterAutospacing="0" w:line="360" w:lineRule="exact"/>
                    <w:ind w:left="0" w:right="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4、不断加强技术培训，组织企业技术交流，提高操作水平，保持操作工人队伍稳定。</w:t>
                  </w:r>
                </w:p>
              </w:tc>
            </w:tr>
          </w:tbl>
          <w:p>
            <w:pPr>
              <w:keepNext w:val="0"/>
              <w:keepLines w:val="0"/>
              <w:suppressLineNumbers w:val="0"/>
              <w:adjustRightInd w:val="0"/>
              <w:snapToGrid w:val="0"/>
              <w:spacing w:before="0" w:beforeAutospacing="0" w:after="0" w:afterAutospacing="0" w:line="480" w:lineRule="exact"/>
              <w:ind w:left="0" w:right="0" w:firstLine="422" w:firstLineChars="200"/>
              <w:rPr>
                <w:rFonts w:hint="default" w:ascii="Times New Roman" w:hAnsi="Times New Roman" w:cs="Times New Roman"/>
                <w:b/>
                <w:bCs/>
                <w:color w:val="auto"/>
                <w:sz w:val="21"/>
                <w:szCs w:val="21"/>
              </w:rPr>
            </w:pPr>
            <w:bookmarkStart w:id="8" w:name="_Toc15842"/>
            <w:r>
              <w:rPr>
                <w:rFonts w:hint="default" w:ascii="Times New Roman" w:hAnsi="Times New Roman" w:cs="Times New Roman"/>
                <w:b/>
                <w:bCs/>
                <w:color w:val="auto"/>
                <w:sz w:val="21"/>
                <w:szCs w:val="21"/>
              </w:rPr>
              <w:t>2、排污口规范化设置</w:t>
            </w:r>
            <w:bookmarkEnd w:id="8"/>
          </w:p>
          <w:p>
            <w:pPr>
              <w:keepNext w:val="0"/>
              <w:keepLines w:val="0"/>
              <w:suppressLineNumbers w:val="0"/>
              <w:adjustRightInd w:val="0"/>
              <w:snapToGrid w:val="0"/>
              <w:spacing w:before="0" w:beforeAutospacing="0" w:after="0" w:afterAutospacing="0" w:line="480" w:lineRule="exact"/>
              <w:ind w:left="0" w:right="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需要按照要求设立排污口。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w:t>
            </w:r>
          </w:p>
          <w:p>
            <w:pPr>
              <w:keepNext w:val="0"/>
              <w:keepLines w:val="0"/>
              <w:suppressLineNumbers w:val="0"/>
              <w:adjustRightInd w:val="0"/>
              <w:snapToGrid w:val="0"/>
              <w:spacing w:before="0" w:beforeAutospacing="0" w:after="0" w:afterAutospacing="0" w:line="480" w:lineRule="exact"/>
              <w:ind w:left="0" w:right="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按照国家环境保护总局制定的《（环境保护图形标志）实施细则（试行）》（环监[1996]463号）的规定，在各排污口树立响应的环境保护图形标志牌，具体要求见表5-2。</w:t>
            </w:r>
          </w:p>
          <w:p>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黑体" w:cs="Times New Roman"/>
                <w:bCs/>
                <w:color w:val="auto"/>
                <w:sz w:val="21"/>
                <w:szCs w:val="21"/>
              </w:rPr>
            </w:pPr>
            <w:r>
              <w:rPr>
                <w:rFonts w:hint="default" w:ascii="Times New Roman" w:hAnsi="Times New Roman" w:eastAsia="黑体" w:cs="Times New Roman"/>
                <w:bCs/>
                <w:color w:val="auto"/>
                <w:sz w:val="21"/>
                <w:szCs w:val="21"/>
              </w:rPr>
              <w:t>表5-2  环境保护图形标志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773"/>
              <w:gridCol w:w="1906"/>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82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HYPERLINK "http://www.biaozhi.net/eNews/news/200602/0029_0000000905.shtml" \t "_blank"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"http://www.biaozhi.net/enews/UploadFiles/smallImg/781.gif"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pict>
                      <v:shape id="_x0000_i1029" o:spt="75" alt="点击看大图及详细资料" type="#_x0000_t75" style="height:75pt;width:75pt;" filled="f" o:preferrelative="t" stroked="f" coordsize="21600,21600">
                        <v:path/>
                        <v:fill on="f" focussize="0,0"/>
                        <v:stroke on="f" joinstyle="miter"/>
                        <v:imagedata r:id="rId33" r:href="rId34" o:title=""/>
                        <o:lock v:ext="edit" aspectratio="t"/>
                        <w10:wrap type="none"/>
                        <w10:anchorlock/>
                      </v:shape>
                    </w:pic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p>
              </w:tc>
              <w:tc>
                <w:tcPr>
                  <w:tcW w:w="2773"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简介：污水排放口</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污水排放口提示图形符号</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污水排放口</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表示污水向水体排放</w:t>
                  </w:r>
                </w:p>
              </w:tc>
              <w:tc>
                <w:tcPr>
                  <w:tcW w:w="1906"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HYPERLINK "http://www.biaozhi.net/eNews/news/200602/0029_0000000909.shtml" \t "_blank"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pict>
                      <v:shape id="_x0000_i1030" o:spt="75" alt="点击看大图及详细资料" type="#_x0000_t75" style="height:75pt;width:75pt;" filled="f" o:preferrelative="t" stroked="f" coordsize="21600,21600">
                        <v:path/>
                        <v:fill on="f" focussize="0,0"/>
                        <v:stroke on="f" joinstyle="miter"/>
                        <v:imagedata r:id="rId35" r:href="rId36" o:title=""/>
                        <o:lock v:ext="edit" aspectratio="t"/>
                        <w10:wrap type="none"/>
                        <w10:anchorlock/>
                      </v:shape>
                    </w:pic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p>
              </w:tc>
              <w:tc>
                <w:tcPr>
                  <w:tcW w:w="247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简介：噪声排放源</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提示图形符号</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噪声排放源</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82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HYPERLINK "http://www.biaozhi.net/eNews/news/200602/0029_0000000907.shtml" \t "_blank"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pict>
                      <v:shape id="_x0000_i1031" o:spt="75" alt="点击看大图及详细资料" type="#_x0000_t75" style="height:73.5pt;width:73.5pt;" filled="f" o:preferrelative="t" stroked="f" coordsize="21600,21600">
                        <v:path/>
                        <v:fill on="f" focussize="0,0"/>
                        <v:stroke on="f" joinstyle="miter"/>
                        <v:imagedata r:id="rId37" r:href="rId38" o:title=""/>
                        <o:lock v:ext="edit" aspectratio="t"/>
                        <w10:wrap type="none"/>
                        <w10:anchorlock/>
                      </v:shape>
                    </w:pic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p>
              </w:tc>
              <w:tc>
                <w:tcPr>
                  <w:tcW w:w="2773"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简介：废气排放口</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提示图形符号</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废气排放口</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表示废气向大气环境排放</w:t>
                  </w:r>
                </w:p>
              </w:tc>
              <w:tc>
                <w:tcPr>
                  <w:tcW w:w="1906"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"C:\\Users\\Administrator\\AppData\\Roaming\\Tencent\\Users\\1049960459\\TIM\\WinTemp\\RichOle\\[2OM$Q~9VA`3U0OK~8X)9(6.png"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"H:\\环评报告\\Administrator\\AppData\\Roaming\\Tencent\\Users\\1049960459\\TIM\\WinTemp\\RichOle\\[2OM$Q~9VA`3U0OK~8X)9(6.png"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"H:\\环评报告\\Administrator\\AppData\\Roaming\\Tencent\\Users\\1049960459\\TIM\\WinTemp\\RichOle\\[2OM$Q~9VA`3U0OK~8X)9(6.png"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pict>
                      <v:shape id="_x0000_i1032" o:spt="75" alt="[2OM$Q~9VA`3U0OK~8X)9(6" type="#_x0000_t75" style="height:75pt;width:74.25pt;" filled="f" o:preferrelative="t" stroked="f" coordsize="21600,21600">
                        <v:path/>
                        <v:fill on="f" focussize="0,0"/>
                        <v:stroke on="f" joinstyle="miter"/>
                        <v:imagedata r:id="rId39" r:href="rId40" o:title=""/>
                        <o:lock v:ext="edit" aspectratio="t"/>
                        <w10:wrap type="none"/>
                        <w10:anchorlock/>
                      </v:shape>
                    </w:pic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fldChar w:fldCharType="end"/>
                  </w:r>
                </w:p>
              </w:tc>
              <w:tc>
                <w:tcPr>
                  <w:tcW w:w="247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简介：一般固体废弃物</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提示图形符号</w:t>
                  </w:r>
                </w:p>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表示一般固体废弃物贮存、处置场</w:t>
                  </w:r>
                </w:p>
              </w:tc>
            </w:tr>
          </w:tbl>
          <w:p>
            <w:pPr>
              <w:pStyle w:val="71"/>
              <w:numPr>
                <w:ilvl w:val="0"/>
                <w:numId w:val="0"/>
              </w:numPr>
              <w:suppressLineNumbers w:val="0"/>
              <w:spacing w:beforeAutospacing="0" w:afterAutospacing="0" w:line="480" w:lineRule="exact"/>
              <w:ind w:left="0" w:right="0" w:firstLine="422"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3、管理监测信息公开</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1）基础信息，包括单位名称、组织机构代码、法定代表人、生产地址、联系方式，以及生产经营和管理服务的主要内容、产品及规模；</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2）排污信息，包括主要污染物及特征污染物的名称、排放方式、排放口数量和分布情况、排放浓度和总量、超标情况以及执行的污染物排放标准、核定的排放总量；</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3）防治污染设施的建设和运行情况；</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4）建设项目环境影响评价及其他环境保护行政许可情况；</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5）其他应当公开的环境信息。如竣工环境保护验收备案、自行监测工作开展情况及监测结果。</w:t>
            </w:r>
          </w:p>
          <w:p>
            <w:pPr>
              <w:keepNext w:val="0"/>
              <w:keepLines w:val="0"/>
              <w:suppressLineNumbers w:val="0"/>
              <w:spacing w:before="0" w:beforeAutospacing="0" w:after="0" w:afterAutospacing="0" w:line="480" w:lineRule="exact"/>
              <w:ind w:left="0" w:right="0" w:firstLine="422" w:firstLineChars="20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4、其他管理要求</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项目建设完成以后，及时办理排污许可证，并进行竣工环境保护验收。</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cs="Times New Roman"/>
                <w:color w:val="auto"/>
                <w:sz w:val="21"/>
                <w:szCs w:val="21"/>
              </w:rPr>
            </w:pPr>
          </w:p>
          <w:p>
            <w:pPr>
              <w:keepNext w:val="0"/>
              <w:keepLines w:val="0"/>
              <w:suppressLineNumbers w:val="0"/>
              <w:adjustRightInd w:val="0"/>
              <w:snapToGrid w:val="0"/>
              <w:spacing w:before="0" w:beforeAutospacing="0" w:after="0" w:afterAutospacing="0" w:line="360" w:lineRule="exact"/>
              <w:ind w:left="0" w:right="0" w:firstLine="420" w:firstLineChars="200"/>
              <w:rPr>
                <w:rFonts w:hint="default" w:ascii="Times New Roman" w:hAnsi="Times New Roman" w:cs="Times New Roman"/>
                <w:bCs/>
                <w:color w:val="auto"/>
                <w:sz w:val="21"/>
                <w:szCs w:val="21"/>
              </w:rPr>
            </w:pP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color w:val="auto"/>
                <w:sz w:val="21"/>
                <w:szCs w:val="21"/>
              </w:rPr>
            </w:pPr>
          </w:p>
        </w:tc>
      </w:tr>
    </w:tbl>
    <w:p>
      <w:pPr>
        <w:pStyle w:val="16"/>
        <w:jc w:val="center"/>
        <w:rPr>
          <w:rFonts w:ascii="黑体" w:hAnsi="黑体" w:eastAsia="黑体"/>
          <w:snapToGrid w:val="0"/>
          <w:color w:val="auto"/>
          <w:sz w:val="30"/>
          <w:szCs w:val="30"/>
        </w:rPr>
        <w:sectPr>
          <w:pgSz w:w="16838" w:h="11906" w:orient="landscape"/>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865" w:type="dxa"/>
            <w:vAlign w:val="center"/>
          </w:tcPr>
          <w:p>
            <w:pPr>
              <w:keepNext w:val="0"/>
              <w:keepLines w:val="0"/>
              <w:suppressLineNumbers w:val="0"/>
              <w:spacing w:before="0" w:beforeAutospacing="0" w:after="0" w:afterAutospacing="0" w:line="360" w:lineRule="auto"/>
              <w:ind w:left="0" w:right="0" w:firstLine="482" w:firstLineChars="200"/>
              <w:rPr>
                <w:rFonts w:hint="eastAsia" w:ascii="宋体" w:cs="宋体"/>
                <w:color w:val="auto"/>
                <w:sz w:val="24"/>
              </w:rPr>
            </w:pPr>
            <w:r>
              <w:rPr>
                <w:rFonts w:hint="eastAsia" w:hAnsi="宋体"/>
                <w:b/>
                <w:color w:val="auto"/>
                <w:sz w:val="24"/>
              </w:rPr>
              <w:t>本项目</w:t>
            </w:r>
            <w:r>
              <w:rPr>
                <w:rFonts w:hint="eastAsia"/>
                <w:b/>
                <w:color w:val="auto"/>
                <w:sz w:val="24"/>
              </w:rPr>
              <w:t>的建设符合国家产业政策以及相关规划要求，项目选址可行。在严格落实环评规定的各项环保措施，保证所排污染物达标排放的前提下，综合考虑各种因素，从环保角度考虑，本项目的建设是可行的。</w:t>
            </w:r>
          </w:p>
        </w:tc>
      </w:tr>
    </w:tbl>
    <w:p>
      <w:pPr>
        <w:rPr>
          <w:rFonts w:ascii="宋体"/>
          <w:color w:val="auto"/>
        </w:rPr>
        <w:sectPr>
          <w:pgSz w:w="11906" w:h="16838"/>
          <w:pgMar w:top="1418" w:right="1418" w:bottom="1418" w:left="1418" w:header="851" w:footer="851" w:gutter="0"/>
          <w:cols w:space="720" w:num="1"/>
          <w:docGrid w:linePitch="312" w:charSpace="0"/>
        </w:sect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auto"/>
          <w:sz w:val="28"/>
          <w:szCs w:val="28"/>
        </w:rPr>
      </w:pPr>
      <w:r>
        <w:rPr>
          <w:rFonts w:hint="eastAsia" w:ascii="黑体" w:hAnsi="黑体" w:eastAsia="黑体"/>
          <w:snapToGrid w:val="0"/>
          <w:color w:val="auto"/>
          <w:sz w:val="28"/>
          <w:szCs w:val="28"/>
        </w:rPr>
        <w:t>附表</w:t>
      </w: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auto"/>
          <w:sz w:val="28"/>
          <w:szCs w:val="28"/>
        </w:rPr>
      </w:pPr>
      <w:r>
        <w:rPr>
          <w:rFonts w:hint="eastAsia" w:ascii="方正小标宋_GBK" w:hAnsi="黑体" w:eastAsia="方正小标宋_GBK"/>
          <w:snapToGrid w:val="0"/>
          <w:color w:val="auto"/>
          <w:sz w:val="28"/>
          <w:szCs w:val="28"/>
        </w:rPr>
        <w:t>建设项目污染物排放量汇总表</w:t>
      </w:r>
    </w:p>
    <w:tbl>
      <w:tblPr>
        <w:tblStyle w:val="19"/>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pPr>
              <w:pStyle w:val="33"/>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417"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70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pPr>
              <w:pStyle w:val="33"/>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76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959"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826"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烟尘</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0.489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0.489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0.659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0.659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3.084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3.084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CO</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2.278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2.278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HCl</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0.172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0.172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汞</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0.000788 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0.000788 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二噁英类</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vertAlign w:val="superscript"/>
              </w:rPr>
            </w:pPr>
            <w:r>
              <w:rPr>
                <w:rFonts w:hint="default" w:ascii="Times New Roman" w:hAnsi="Times New Roman" w:eastAsia="宋体" w:cs="Times New Roman"/>
                <w:snapToGrid w:val="0"/>
                <w:color w:val="auto"/>
                <w:kern w:val="21"/>
                <w:sz w:val="21"/>
                <w:szCs w:val="21"/>
              </w:rPr>
              <w:t>7.69mgTEQ/a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7.69mgTEQ/a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vertAlign w:val="baseline"/>
                <w:lang w:val="en-US" w:eastAsia="zh-CN"/>
              </w:rPr>
            </w:pP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遗体火化产生的骨灰</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5.256t/a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5.256t/a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火化炉遗留的灰渣</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0.219t/a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0.219t/a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遗物祭品焚烧灰渣</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9.636t/a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9.636t/a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污水处理设施污泥</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1.5t/a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1.5t/a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隔油池油渣</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0.361t/a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0.361t/a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焚烧飞灰</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5.256t/a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color w:val="auto"/>
                <w:sz w:val="21"/>
                <w:szCs w:val="21"/>
              </w:rPr>
              <w:t>5.256t/a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废脱硫粉</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1.752t/a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1.752t/a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417"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废活性炭</w:t>
            </w: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27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70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5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eastAsia" w:ascii="Times New Roman" w:cs="Times New Roman"/>
                <w:color w:val="auto"/>
                <w:sz w:val="21"/>
                <w:szCs w:val="21"/>
                <w:lang w:val="en-US" w:eastAsia="zh-CN"/>
              </w:rPr>
              <w:t>5.94</w:t>
            </w:r>
            <w:r>
              <w:rPr>
                <w:rFonts w:hint="default" w:ascii="Times New Roman" w:hAnsi="Times New Roman" w:eastAsia="宋体" w:cs="Times New Roman"/>
                <w:color w:val="auto"/>
                <w:sz w:val="21"/>
                <w:szCs w:val="21"/>
              </w:rPr>
              <w:t>t/a</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c>
          <w:tcPr>
            <w:tcW w:w="1959"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r>
              <w:rPr>
                <w:rFonts w:hint="eastAsia" w:ascii="Times New Roman" w:cs="Times New Roman"/>
                <w:color w:val="auto"/>
                <w:sz w:val="21"/>
                <w:szCs w:val="21"/>
                <w:lang w:val="en-US" w:eastAsia="zh-CN"/>
              </w:rPr>
              <w:t>5.94</w:t>
            </w:r>
            <w:r>
              <w:rPr>
                <w:rFonts w:hint="default" w:ascii="Times New Roman" w:hAnsi="Times New Roman" w:eastAsia="宋体" w:cs="Times New Roman"/>
                <w:color w:val="auto"/>
                <w:sz w:val="21"/>
                <w:szCs w:val="21"/>
              </w:rPr>
              <w:t>t/a</w:t>
            </w:r>
          </w:p>
        </w:tc>
        <w:tc>
          <w:tcPr>
            <w:tcW w:w="826"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rPr>
            </w:pPr>
          </w:p>
        </w:tc>
      </w:tr>
    </w:tbl>
    <w:p>
      <w:pPr>
        <w:pStyle w:val="33"/>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rPr>
          <w:color w:val="auto"/>
        </w:rPr>
        <w:sectPr>
          <w:footerReference r:id="rId6" w:type="default"/>
          <w:pgSz w:w="16838" w:h="11906" w:orient="landscape"/>
          <w:pgMar w:top="1417" w:right="1531" w:bottom="1417" w:left="1531" w:header="851" w:footer="850" w:gutter="0"/>
          <w:pgNumType w:fmt="numberInDash"/>
          <w:cols w:space="0" w:num="1"/>
          <w:rtlGutter w:val="0"/>
          <w:docGrid w:linePitch="312" w:charSpace="0"/>
        </w:sectPr>
      </w:pPr>
    </w:p>
    <w:p>
      <w:pPr>
        <w:jc w:val="center"/>
        <w:rPr>
          <w:rFonts w:hint="eastAsia" w:ascii="宋体" w:hAnsi="宋体" w:eastAsia="黑体"/>
          <w:color w:val="auto"/>
          <w:lang w:eastAsia="zh-CN"/>
        </w:rPr>
      </w:pPr>
      <w:bookmarkStart w:id="9" w:name="_GoBack"/>
      <w:bookmarkEnd w:id="9"/>
    </w:p>
    <w:sectPr>
      <w:footerReference r:id="rId7" w:type="default"/>
      <w:pgSz w:w="11907" w:h="16840"/>
      <w:pgMar w:top="1417" w:right="1418" w:bottom="1417" w:left="85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2785332"/>
      <w:docPartObj>
        <w:docPartGallery w:val="autotext"/>
      </w:docPartObj>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2077663"/>
      <w:docPartObj>
        <w:docPartGallery w:val="autotext"/>
      </w:docPartObj>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359"/>
        <w:tab w:val="clear" w:pos="4153"/>
      </w:tabs>
      <w:rPr>
        <w:rFonts w:hint="eastAsia" w:eastAsia="宋体"/>
        <w:lang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407EF"/>
    <w:multiLevelType w:val="singleLevel"/>
    <w:tmpl w:val="362407EF"/>
    <w:lvl w:ilvl="0" w:tentative="0">
      <w:start w:val="1"/>
      <w:numFmt w:val="decimal"/>
      <w:pStyle w:val="71"/>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1NTVlZjhjYTA2OGFlYmJhMWRiNDdhZTg5Y2FjNWUifQ=="/>
  </w:docVars>
  <w:rsids>
    <w:rsidRoot w:val="00172A27"/>
    <w:rsid w:val="00001630"/>
    <w:rsid w:val="00004904"/>
    <w:rsid w:val="000060B3"/>
    <w:rsid w:val="000210F4"/>
    <w:rsid w:val="000310CA"/>
    <w:rsid w:val="0003481D"/>
    <w:rsid w:val="000369C7"/>
    <w:rsid w:val="00037F1A"/>
    <w:rsid w:val="0004364B"/>
    <w:rsid w:val="0005251A"/>
    <w:rsid w:val="00055C76"/>
    <w:rsid w:val="00061B1F"/>
    <w:rsid w:val="00065044"/>
    <w:rsid w:val="00072AF1"/>
    <w:rsid w:val="000733C4"/>
    <w:rsid w:val="00074783"/>
    <w:rsid w:val="0008070B"/>
    <w:rsid w:val="000810AC"/>
    <w:rsid w:val="00081A02"/>
    <w:rsid w:val="00081A42"/>
    <w:rsid w:val="00082231"/>
    <w:rsid w:val="00084D63"/>
    <w:rsid w:val="000851B2"/>
    <w:rsid w:val="00092D38"/>
    <w:rsid w:val="0009377B"/>
    <w:rsid w:val="000A20C9"/>
    <w:rsid w:val="000A24BF"/>
    <w:rsid w:val="000A54D8"/>
    <w:rsid w:val="000B058F"/>
    <w:rsid w:val="000B4467"/>
    <w:rsid w:val="000B4DB9"/>
    <w:rsid w:val="000B66F9"/>
    <w:rsid w:val="000C09AC"/>
    <w:rsid w:val="000C2989"/>
    <w:rsid w:val="000C2F2C"/>
    <w:rsid w:val="000C5218"/>
    <w:rsid w:val="000C767F"/>
    <w:rsid w:val="000D5A44"/>
    <w:rsid w:val="000E2855"/>
    <w:rsid w:val="000E3ED2"/>
    <w:rsid w:val="000E554E"/>
    <w:rsid w:val="00113E1D"/>
    <w:rsid w:val="00122C07"/>
    <w:rsid w:val="0012472B"/>
    <w:rsid w:val="00124E6A"/>
    <w:rsid w:val="00131F42"/>
    <w:rsid w:val="00133D85"/>
    <w:rsid w:val="001357F1"/>
    <w:rsid w:val="00140FA8"/>
    <w:rsid w:val="00142FEB"/>
    <w:rsid w:val="00143A2D"/>
    <w:rsid w:val="00145A41"/>
    <w:rsid w:val="0014740A"/>
    <w:rsid w:val="00151675"/>
    <w:rsid w:val="00153D08"/>
    <w:rsid w:val="00157435"/>
    <w:rsid w:val="0016010F"/>
    <w:rsid w:val="0016378A"/>
    <w:rsid w:val="0017504D"/>
    <w:rsid w:val="0017662C"/>
    <w:rsid w:val="0017671A"/>
    <w:rsid w:val="00177422"/>
    <w:rsid w:val="00184590"/>
    <w:rsid w:val="0018571C"/>
    <w:rsid w:val="001862D7"/>
    <w:rsid w:val="00186ECD"/>
    <w:rsid w:val="001870D1"/>
    <w:rsid w:val="0018781E"/>
    <w:rsid w:val="0019262D"/>
    <w:rsid w:val="00193056"/>
    <w:rsid w:val="0019738B"/>
    <w:rsid w:val="001A175E"/>
    <w:rsid w:val="001A1B35"/>
    <w:rsid w:val="001A48A2"/>
    <w:rsid w:val="001A6F61"/>
    <w:rsid w:val="001B2C27"/>
    <w:rsid w:val="001B537A"/>
    <w:rsid w:val="001B72B8"/>
    <w:rsid w:val="001C1DF4"/>
    <w:rsid w:val="001C69B3"/>
    <w:rsid w:val="001D3325"/>
    <w:rsid w:val="001D5595"/>
    <w:rsid w:val="001D7874"/>
    <w:rsid w:val="001D7F22"/>
    <w:rsid w:val="001E7FAA"/>
    <w:rsid w:val="001F0F17"/>
    <w:rsid w:val="001F2052"/>
    <w:rsid w:val="001F3347"/>
    <w:rsid w:val="001F69E4"/>
    <w:rsid w:val="002125B4"/>
    <w:rsid w:val="002155B8"/>
    <w:rsid w:val="00216172"/>
    <w:rsid w:val="00220C12"/>
    <w:rsid w:val="0022456D"/>
    <w:rsid w:val="00224839"/>
    <w:rsid w:val="002249B2"/>
    <w:rsid w:val="00225AF1"/>
    <w:rsid w:val="00226574"/>
    <w:rsid w:val="002277BE"/>
    <w:rsid w:val="002278EC"/>
    <w:rsid w:val="0023280E"/>
    <w:rsid w:val="0023632B"/>
    <w:rsid w:val="002377D1"/>
    <w:rsid w:val="00242969"/>
    <w:rsid w:val="00244017"/>
    <w:rsid w:val="002506BC"/>
    <w:rsid w:val="00254345"/>
    <w:rsid w:val="00264557"/>
    <w:rsid w:val="00271B48"/>
    <w:rsid w:val="0027262C"/>
    <w:rsid w:val="002805AB"/>
    <w:rsid w:val="002822A5"/>
    <w:rsid w:val="002833BD"/>
    <w:rsid w:val="00284204"/>
    <w:rsid w:val="002859C9"/>
    <w:rsid w:val="00286481"/>
    <w:rsid w:val="00287E6F"/>
    <w:rsid w:val="00291773"/>
    <w:rsid w:val="00291A47"/>
    <w:rsid w:val="002A0126"/>
    <w:rsid w:val="002A168C"/>
    <w:rsid w:val="002A3DC7"/>
    <w:rsid w:val="002A5A28"/>
    <w:rsid w:val="002B2C25"/>
    <w:rsid w:val="002B49E2"/>
    <w:rsid w:val="002B7094"/>
    <w:rsid w:val="002B7B00"/>
    <w:rsid w:val="002B7C44"/>
    <w:rsid w:val="002C2397"/>
    <w:rsid w:val="002C2A0C"/>
    <w:rsid w:val="002C2B17"/>
    <w:rsid w:val="002C31E5"/>
    <w:rsid w:val="002C690C"/>
    <w:rsid w:val="002D3DD0"/>
    <w:rsid w:val="002E1F3A"/>
    <w:rsid w:val="002E298A"/>
    <w:rsid w:val="002E6E3C"/>
    <w:rsid w:val="002F1D05"/>
    <w:rsid w:val="002F23E4"/>
    <w:rsid w:val="00301978"/>
    <w:rsid w:val="0030332C"/>
    <w:rsid w:val="00304C61"/>
    <w:rsid w:val="003051C2"/>
    <w:rsid w:val="003104F7"/>
    <w:rsid w:val="00312296"/>
    <w:rsid w:val="00314BB3"/>
    <w:rsid w:val="00314F0E"/>
    <w:rsid w:val="00321D8E"/>
    <w:rsid w:val="00325928"/>
    <w:rsid w:val="00332863"/>
    <w:rsid w:val="00333388"/>
    <w:rsid w:val="0033684D"/>
    <w:rsid w:val="00337B42"/>
    <w:rsid w:val="00341B42"/>
    <w:rsid w:val="0034348F"/>
    <w:rsid w:val="00350CB9"/>
    <w:rsid w:val="00356653"/>
    <w:rsid w:val="00357402"/>
    <w:rsid w:val="0035743F"/>
    <w:rsid w:val="00357BE2"/>
    <w:rsid w:val="0036170C"/>
    <w:rsid w:val="0036614E"/>
    <w:rsid w:val="00366E0F"/>
    <w:rsid w:val="00373149"/>
    <w:rsid w:val="00381A72"/>
    <w:rsid w:val="003832BF"/>
    <w:rsid w:val="00384676"/>
    <w:rsid w:val="003848EA"/>
    <w:rsid w:val="0038787D"/>
    <w:rsid w:val="00390857"/>
    <w:rsid w:val="003956FB"/>
    <w:rsid w:val="00395EEF"/>
    <w:rsid w:val="00397ABF"/>
    <w:rsid w:val="003A4B16"/>
    <w:rsid w:val="003A4BF3"/>
    <w:rsid w:val="003A4EAA"/>
    <w:rsid w:val="003A7D29"/>
    <w:rsid w:val="003B420D"/>
    <w:rsid w:val="003C2EA2"/>
    <w:rsid w:val="003C64C3"/>
    <w:rsid w:val="003C6C16"/>
    <w:rsid w:val="003D1112"/>
    <w:rsid w:val="003D504F"/>
    <w:rsid w:val="003D794D"/>
    <w:rsid w:val="003E3058"/>
    <w:rsid w:val="003E424D"/>
    <w:rsid w:val="003E76A9"/>
    <w:rsid w:val="003F0809"/>
    <w:rsid w:val="003F5033"/>
    <w:rsid w:val="003F6A8C"/>
    <w:rsid w:val="003F755C"/>
    <w:rsid w:val="00406F01"/>
    <w:rsid w:val="00410D47"/>
    <w:rsid w:val="00414826"/>
    <w:rsid w:val="00416D50"/>
    <w:rsid w:val="00416FD5"/>
    <w:rsid w:val="00417772"/>
    <w:rsid w:val="00420E6A"/>
    <w:rsid w:val="00425A9E"/>
    <w:rsid w:val="004260C5"/>
    <w:rsid w:val="00426D6B"/>
    <w:rsid w:val="00431E6C"/>
    <w:rsid w:val="004321A5"/>
    <w:rsid w:val="00432E42"/>
    <w:rsid w:val="00433CE7"/>
    <w:rsid w:val="00443956"/>
    <w:rsid w:val="004504A0"/>
    <w:rsid w:val="0045119B"/>
    <w:rsid w:val="00452738"/>
    <w:rsid w:val="00452E97"/>
    <w:rsid w:val="004547DE"/>
    <w:rsid w:val="00456091"/>
    <w:rsid w:val="00461004"/>
    <w:rsid w:val="00462AF9"/>
    <w:rsid w:val="004659F6"/>
    <w:rsid w:val="00466321"/>
    <w:rsid w:val="00472E7C"/>
    <w:rsid w:val="00484B9B"/>
    <w:rsid w:val="004855F6"/>
    <w:rsid w:val="0048661E"/>
    <w:rsid w:val="00486CBA"/>
    <w:rsid w:val="004929FF"/>
    <w:rsid w:val="00494670"/>
    <w:rsid w:val="004A3823"/>
    <w:rsid w:val="004C2FF1"/>
    <w:rsid w:val="004C35F3"/>
    <w:rsid w:val="004D2843"/>
    <w:rsid w:val="004E004C"/>
    <w:rsid w:val="004E6946"/>
    <w:rsid w:val="004F169B"/>
    <w:rsid w:val="004F1AD8"/>
    <w:rsid w:val="004F3641"/>
    <w:rsid w:val="00503479"/>
    <w:rsid w:val="005039CB"/>
    <w:rsid w:val="0050558F"/>
    <w:rsid w:val="00506286"/>
    <w:rsid w:val="00510813"/>
    <w:rsid w:val="00510925"/>
    <w:rsid w:val="00510BC9"/>
    <w:rsid w:val="00511990"/>
    <w:rsid w:val="00511DE0"/>
    <w:rsid w:val="00514870"/>
    <w:rsid w:val="00514B9B"/>
    <w:rsid w:val="00515884"/>
    <w:rsid w:val="00517F02"/>
    <w:rsid w:val="00524303"/>
    <w:rsid w:val="005258A2"/>
    <w:rsid w:val="005353AC"/>
    <w:rsid w:val="005401AE"/>
    <w:rsid w:val="00542E07"/>
    <w:rsid w:val="00544EFF"/>
    <w:rsid w:val="00545424"/>
    <w:rsid w:val="00554A7B"/>
    <w:rsid w:val="0055572C"/>
    <w:rsid w:val="00560170"/>
    <w:rsid w:val="0056106A"/>
    <w:rsid w:val="005652D4"/>
    <w:rsid w:val="00565603"/>
    <w:rsid w:val="00567886"/>
    <w:rsid w:val="005720AE"/>
    <w:rsid w:val="005858C8"/>
    <w:rsid w:val="0059093F"/>
    <w:rsid w:val="00594D77"/>
    <w:rsid w:val="005969E4"/>
    <w:rsid w:val="005A06B7"/>
    <w:rsid w:val="005A1759"/>
    <w:rsid w:val="005A68A7"/>
    <w:rsid w:val="005C5EEE"/>
    <w:rsid w:val="005C7402"/>
    <w:rsid w:val="005D36AB"/>
    <w:rsid w:val="005D373D"/>
    <w:rsid w:val="005D6B31"/>
    <w:rsid w:val="005E6C95"/>
    <w:rsid w:val="005F4150"/>
    <w:rsid w:val="005F76ED"/>
    <w:rsid w:val="005F78F1"/>
    <w:rsid w:val="00604AD5"/>
    <w:rsid w:val="00610B06"/>
    <w:rsid w:val="00617CC3"/>
    <w:rsid w:val="006354C6"/>
    <w:rsid w:val="00635D0F"/>
    <w:rsid w:val="006377A6"/>
    <w:rsid w:val="00637A3D"/>
    <w:rsid w:val="006411EF"/>
    <w:rsid w:val="006468AB"/>
    <w:rsid w:val="0066794D"/>
    <w:rsid w:val="006748B8"/>
    <w:rsid w:val="006775C3"/>
    <w:rsid w:val="00684807"/>
    <w:rsid w:val="006907FF"/>
    <w:rsid w:val="0069290A"/>
    <w:rsid w:val="006946D9"/>
    <w:rsid w:val="006948D4"/>
    <w:rsid w:val="00695A90"/>
    <w:rsid w:val="0069775A"/>
    <w:rsid w:val="00697813"/>
    <w:rsid w:val="006A1186"/>
    <w:rsid w:val="006A1831"/>
    <w:rsid w:val="006A3EE8"/>
    <w:rsid w:val="006A66BC"/>
    <w:rsid w:val="006A72BF"/>
    <w:rsid w:val="006B03F2"/>
    <w:rsid w:val="006B37DC"/>
    <w:rsid w:val="006B4F68"/>
    <w:rsid w:val="006C0592"/>
    <w:rsid w:val="006C0C8E"/>
    <w:rsid w:val="006C272E"/>
    <w:rsid w:val="006C5479"/>
    <w:rsid w:val="006D13B5"/>
    <w:rsid w:val="006D5C63"/>
    <w:rsid w:val="006E12FF"/>
    <w:rsid w:val="006E607E"/>
    <w:rsid w:val="00706C5D"/>
    <w:rsid w:val="00707A88"/>
    <w:rsid w:val="0071052F"/>
    <w:rsid w:val="00715B76"/>
    <w:rsid w:val="00717305"/>
    <w:rsid w:val="00720878"/>
    <w:rsid w:val="007219D1"/>
    <w:rsid w:val="00732922"/>
    <w:rsid w:val="00737EF7"/>
    <w:rsid w:val="0075162E"/>
    <w:rsid w:val="00754034"/>
    <w:rsid w:val="00756556"/>
    <w:rsid w:val="007618C4"/>
    <w:rsid w:val="00764285"/>
    <w:rsid w:val="00765001"/>
    <w:rsid w:val="00767980"/>
    <w:rsid w:val="00770B19"/>
    <w:rsid w:val="00773558"/>
    <w:rsid w:val="0077463F"/>
    <w:rsid w:val="00781990"/>
    <w:rsid w:val="007836EA"/>
    <w:rsid w:val="00784CDA"/>
    <w:rsid w:val="007906C4"/>
    <w:rsid w:val="00792933"/>
    <w:rsid w:val="007940EA"/>
    <w:rsid w:val="007967E8"/>
    <w:rsid w:val="007A2170"/>
    <w:rsid w:val="007A22BF"/>
    <w:rsid w:val="007A3323"/>
    <w:rsid w:val="007B2B1B"/>
    <w:rsid w:val="007B447E"/>
    <w:rsid w:val="007B46E2"/>
    <w:rsid w:val="007B693D"/>
    <w:rsid w:val="007B72B8"/>
    <w:rsid w:val="007B7A58"/>
    <w:rsid w:val="007C21B5"/>
    <w:rsid w:val="007C3CB4"/>
    <w:rsid w:val="007D2E28"/>
    <w:rsid w:val="007E4BD2"/>
    <w:rsid w:val="00801393"/>
    <w:rsid w:val="008014F4"/>
    <w:rsid w:val="00802F88"/>
    <w:rsid w:val="0081293E"/>
    <w:rsid w:val="00815465"/>
    <w:rsid w:val="00817E9A"/>
    <w:rsid w:val="00822E1B"/>
    <w:rsid w:val="008249C9"/>
    <w:rsid w:val="008306BD"/>
    <w:rsid w:val="00831A80"/>
    <w:rsid w:val="00833743"/>
    <w:rsid w:val="008340A4"/>
    <w:rsid w:val="00835831"/>
    <w:rsid w:val="00836B47"/>
    <w:rsid w:val="00837728"/>
    <w:rsid w:val="00843585"/>
    <w:rsid w:val="00860F58"/>
    <w:rsid w:val="00864782"/>
    <w:rsid w:val="00866AF0"/>
    <w:rsid w:val="00866F57"/>
    <w:rsid w:val="0087135F"/>
    <w:rsid w:val="00872D94"/>
    <w:rsid w:val="008731FF"/>
    <w:rsid w:val="0087664D"/>
    <w:rsid w:val="00880364"/>
    <w:rsid w:val="00881279"/>
    <w:rsid w:val="008817A6"/>
    <w:rsid w:val="00885A03"/>
    <w:rsid w:val="00891592"/>
    <w:rsid w:val="00891E9E"/>
    <w:rsid w:val="008946E6"/>
    <w:rsid w:val="00895664"/>
    <w:rsid w:val="008A2F68"/>
    <w:rsid w:val="008A5774"/>
    <w:rsid w:val="008B1E49"/>
    <w:rsid w:val="008B4FA6"/>
    <w:rsid w:val="008B5282"/>
    <w:rsid w:val="008B5D13"/>
    <w:rsid w:val="008B7C17"/>
    <w:rsid w:val="008C00B3"/>
    <w:rsid w:val="008C2C82"/>
    <w:rsid w:val="008C2D01"/>
    <w:rsid w:val="008C3F9A"/>
    <w:rsid w:val="008C40E6"/>
    <w:rsid w:val="008C54B9"/>
    <w:rsid w:val="008D0F7A"/>
    <w:rsid w:val="008D1226"/>
    <w:rsid w:val="008D68E4"/>
    <w:rsid w:val="008E0506"/>
    <w:rsid w:val="008E0CFF"/>
    <w:rsid w:val="008E16A0"/>
    <w:rsid w:val="008E4A6D"/>
    <w:rsid w:val="008E5D6B"/>
    <w:rsid w:val="008E6D48"/>
    <w:rsid w:val="008E76F0"/>
    <w:rsid w:val="008F15FE"/>
    <w:rsid w:val="008F2D29"/>
    <w:rsid w:val="008F5187"/>
    <w:rsid w:val="008F60D8"/>
    <w:rsid w:val="008F7F56"/>
    <w:rsid w:val="00902727"/>
    <w:rsid w:val="0090312B"/>
    <w:rsid w:val="00913FF3"/>
    <w:rsid w:val="0091736D"/>
    <w:rsid w:val="0092416B"/>
    <w:rsid w:val="0093037A"/>
    <w:rsid w:val="0093744E"/>
    <w:rsid w:val="00940497"/>
    <w:rsid w:val="0094154D"/>
    <w:rsid w:val="009449A7"/>
    <w:rsid w:val="0095155F"/>
    <w:rsid w:val="00954429"/>
    <w:rsid w:val="009563CE"/>
    <w:rsid w:val="00966D57"/>
    <w:rsid w:val="00976328"/>
    <w:rsid w:val="0097680D"/>
    <w:rsid w:val="009775B5"/>
    <w:rsid w:val="00982438"/>
    <w:rsid w:val="0098404C"/>
    <w:rsid w:val="00985283"/>
    <w:rsid w:val="00995992"/>
    <w:rsid w:val="0099664E"/>
    <w:rsid w:val="009A03E5"/>
    <w:rsid w:val="009A0F3B"/>
    <w:rsid w:val="009A1BB4"/>
    <w:rsid w:val="009A2628"/>
    <w:rsid w:val="009A3200"/>
    <w:rsid w:val="009A5FC1"/>
    <w:rsid w:val="009B0897"/>
    <w:rsid w:val="009B263D"/>
    <w:rsid w:val="009B4CF8"/>
    <w:rsid w:val="009B7BD9"/>
    <w:rsid w:val="009C2616"/>
    <w:rsid w:val="009C404F"/>
    <w:rsid w:val="009C7433"/>
    <w:rsid w:val="009C7DD5"/>
    <w:rsid w:val="009D26D9"/>
    <w:rsid w:val="009E0A52"/>
    <w:rsid w:val="009E227D"/>
    <w:rsid w:val="009E4B99"/>
    <w:rsid w:val="009E5019"/>
    <w:rsid w:val="009F2A60"/>
    <w:rsid w:val="00A02BDE"/>
    <w:rsid w:val="00A04F1B"/>
    <w:rsid w:val="00A0501B"/>
    <w:rsid w:val="00A129BF"/>
    <w:rsid w:val="00A14947"/>
    <w:rsid w:val="00A21A6E"/>
    <w:rsid w:val="00A22C7D"/>
    <w:rsid w:val="00A25405"/>
    <w:rsid w:val="00A32A83"/>
    <w:rsid w:val="00A368DB"/>
    <w:rsid w:val="00A37371"/>
    <w:rsid w:val="00A37A3A"/>
    <w:rsid w:val="00A423AA"/>
    <w:rsid w:val="00A437D4"/>
    <w:rsid w:val="00A457D1"/>
    <w:rsid w:val="00A50845"/>
    <w:rsid w:val="00A5208F"/>
    <w:rsid w:val="00A53EC6"/>
    <w:rsid w:val="00A55C0F"/>
    <w:rsid w:val="00A55DFD"/>
    <w:rsid w:val="00A66096"/>
    <w:rsid w:val="00A66962"/>
    <w:rsid w:val="00A66D7F"/>
    <w:rsid w:val="00A70E39"/>
    <w:rsid w:val="00A84906"/>
    <w:rsid w:val="00A8713F"/>
    <w:rsid w:val="00A87622"/>
    <w:rsid w:val="00A87BEB"/>
    <w:rsid w:val="00A90BA1"/>
    <w:rsid w:val="00A93A79"/>
    <w:rsid w:val="00A96402"/>
    <w:rsid w:val="00A97A9A"/>
    <w:rsid w:val="00AA0671"/>
    <w:rsid w:val="00AA2531"/>
    <w:rsid w:val="00AB1E09"/>
    <w:rsid w:val="00AB437D"/>
    <w:rsid w:val="00AB5330"/>
    <w:rsid w:val="00AB7747"/>
    <w:rsid w:val="00AB7BBE"/>
    <w:rsid w:val="00AC14CE"/>
    <w:rsid w:val="00AC2A56"/>
    <w:rsid w:val="00AD055E"/>
    <w:rsid w:val="00AD47A7"/>
    <w:rsid w:val="00AE0649"/>
    <w:rsid w:val="00AE1E37"/>
    <w:rsid w:val="00AE1FE8"/>
    <w:rsid w:val="00AE6AFA"/>
    <w:rsid w:val="00AF0CBF"/>
    <w:rsid w:val="00AF257F"/>
    <w:rsid w:val="00AF33CF"/>
    <w:rsid w:val="00AF4D50"/>
    <w:rsid w:val="00AF6179"/>
    <w:rsid w:val="00B05CC7"/>
    <w:rsid w:val="00B0636C"/>
    <w:rsid w:val="00B11596"/>
    <w:rsid w:val="00B1295A"/>
    <w:rsid w:val="00B20A45"/>
    <w:rsid w:val="00B22C5C"/>
    <w:rsid w:val="00B24A9A"/>
    <w:rsid w:val="00B24F30"/>
    <w:rsid w:val="00B31ABF"/>
    <w:rsid w:val="00B33BE3"/>
    <w:rsid w:val="00B34C2F"/>
    <w:rsid w:val="00B4778B"/>
    <w:rsid w:val="00B53B5D"/>
    <w:rsid w:val="00B6055E"/>
    <w:rsid w:val="00B616C5"/>
    <w:rsid w:val="00B62D21"/>
    <w:rsid w:val="00B6317D"/>
    <w:rsid w:val="00B64F3D"/>
    <w:rsid w:val="00B6588C"/>
    <w:rsid w:val="00B7220E"/>
    <w:rsid w:val="00B74EC8"/>
    <w:rsid w:val="00B7723F"/>
    <w:rsid w:val="00B77907"/>
    <w:rsid w:val="00B80534"/>
    <w:rsid w:val="00B8433C"/>
    <w:rsid w:val="00B86EF3"/>
    <w:rsid w:val="00B87491"/>
    <w:rsid w:val="00B902C4"/>
    <w:rsid w:val="00B909E0"/>
    <w:rsid w:val="00B97F02"/>
    <w:rsid w:val="00BA29E9"/>
    <w:rsid w:val="00BA7142"/>
    <w:rsid w:val="00BB237C"/>
    <w:rsid w:val="00BB41A3"/>
    <w:rsid w:val="00BC32DC"/>
    <w:rsid w:val="00BC35B6"/>
    <w:rsid w:val="00BD17D2"/>
    <w:rsid w:val="00BD1B51"/>
    <w:rsid w:val="00BD4596"/>
    <w:rsid w:val="00BD6B17"/>
    <w:rsid w:val="00BD6E1F"/>
    <w:rsid w:val="00BD7850"/>
    <w:rsid w:val="00BE1405"/>
    <w:rsid w:val="00BE312D"/>
    <w:rsid w:val="00BE5AB6"/>
    <w:rsid w:val="00BE7F68"/>
    <w:rsid w:val="00BF1C20"/>
    <w:rsid w:val="00BF35A3"/>
    <w:rsid w:val="00C004B6"/>
    <w:rsid w:val="00C01AB2"/>
    <w:rsid w:val="00C04605"/>
    <w:rsid w:val="00C10578"/>
    <w:rsid w:val="00C135BC"/>
    <w:rsid w:val="00C13CE4"/>
    <w:rsid w:val="00C15C95"/>
    <w:rsid w:val="00C1756D"/>
    <w:rsid w:val="00C17C04"/>
    <w:rsid w:val="00C2596A"/>
    <w:rsid w:val="00C27296"/>
    <w:rsid w:val="00C27537"/>
    <w:rsid w:val="00C31D49"/>
    <w:rsid w:val="00C328FE"/>
    <w:rsid w:val="00C33507"/>
    <w:rsid w:val="00C4409D"/>
    <w:rsid w:val="00C44B4C"/>
    <w:rsid w:val="00C44E72"/>
    <w:rsid w:val="00C45A06"/>
    <w:rsid w:val="00C47E5B"/>
    <w:rsid w:val="00C5726F"/>
    <w:rsid w:val="00C61E4B"/>
    <w:rsid w:val="00C64BFF"/>
    <w:rsid w:val="00C704E9"/>
    <w:rsid w:val="00C74EAD"/>
    <w:rsid w:val="00C763C9"/>
    <w:rsid w:val="00C76C45"/>
    <w:rsid w:val="00C80057"/>
    <w:rsid w:val="00C8183F"/>
    <w:rsid w:val="00C82232"/>
    <w:rsid w:val="00C82913"/>
    <w:rsid w:val="00C87774"/>
    <w:rsid w:val="00C927D7"/>
    <w:rsid w:val="00C958B9"/>
    <w:rsid w:val="00C95E52"/>
    <w:rsid w:val="00C972B1"/>
    <w:rsid w:val="00CA1D6C"/>
    <w:rsid w:val="00CA2CCE"/>
    <w:rsid w:val="00CA3186"/>
    <w:rsid w:val="00CA43FD"/>
    <w:rsid w:val="00CA7EF8"/>
    <w:rsid w:val="00CB1D98"/>
    <w:rsid w:val="00CC2A73"/>
    <w:rsid w:val="00CC401D"/>
    <w:rsid w:val="00CC489B"/>
    <w:rsid w:val="00CD1E42"/>
    <w:rsid w:val="00CD2BCD"/>
    <w:rsid w:val="00CD39F7"/>
    <w:rsid w:val="00CD3A4C"/>
    <w:rsid w:val="00CD4101"/>
    <w:rsid w:val="00CE10E9"/>
    <w:rsid w:val="00CE2910"/>
    <w:rsid w:val="00CE5393"/>
    <w:rsid w:val="00CF2795"/>
    <w:rsid w:val="00CF36BE"/>
    <w:rsid w:val="00CF6000"/>
    <w:rsid w:val="00D003F3"/>
    <w:rsid w:val="00D01444"/>
    <w:rsid w:val="00D02C7C"/>
    <w:rsid w:val="00D0364F"/>
    <w:rsid w:val="00D06834"/>
    <w:rsid w:val="00D07F7A"/>
    <w:rsid w:val="00D279A1"/>
    <w:rsid w:val="00D308ED"/>
    <w:rsid w:val="00D34628"/>
    <w:rsid w:val="00D36D86"/>
    <w:rsid w:val="00D428AA"/>
    <w:rsid w:val="00D435F4"/>
    <w:rsid w:val="00D44377"/>
    <w:rsid w:val="00D47496"/>
    <w:rsid w:val="00D50A34"/>
    <w:rsid w:val="00D53EFA"/>
    <w:rsid w:val="00D55C9D"/>
    <w:rsid w:val="00D622ED"/>
    <w:rsid w:val="00D6629E"/>
    <w:rsid w:val="00D77F8D"/>
    <w:rsid w:val="00D94A7C"/>
    <w:rsid w:val="00D95896"/>
    <w:rsid w:val="00DA6B0A"/>
    <w:rsid w:val="00DA7E72"/>
    <w:rsid w:val="00DB069F"/>
    <w:rsid w:val="00DB2983"/>
    <w:rsid w:val="00DC1257"/>
    <w:rsid w:val="00DC3DC0"/>
    <w:rsid w:val="00DC4D37"/>
    <w:rsid w:val="00DC5B2B"/>
    <w:rsid w:val="00DC615B"/>
    <w:rsid w:val="00DD318D"/>
    <w:rsid w:val="00DE13A0"/>
    <w:rsid w:val="00DE3E19"/>
    <w:rsid w:val="00DE7CC4"/>
    <w:rsid w:val="00DF2E12"/>
    <w:rsid w:val="00DF419C"/>
    <w:rsid w:val="00DF514A"/>
    <w:rsid w:val="00DF6690"/>
    <w:rsid w:val="00DF6804"/>
    <w:rsid w:val="00E0108F"/>
    <w:rsid w:val="00E0358D"/>
    <w:rsid w:val="00E04323"/>
    <w:rsid w:val="00E070A2"/>
    <w:rsid w:val="00E1212B"/>
    <w:rsid w:val="00E16F82"/>
    <w:rsid w:val="00E171F5"/>
    <w:rsid w:val="00E22FCE"/>
    <w:rsid w:val="00E2358C"/>
    <w:rsid w:val="00E2611A"/>
    <w:rsid w:val="00E2656A"/>
    <w:rsid w:val="00E30915"/>
    <w:rsid w:val="00E37292"/>
    <w:rsid w:val="00E412D0"/>
    <w:rsid w:val="00E43F1F"/>
    <w:rsid w:val="00E52BA3"/>
    <w:rsid w:val="00E55C9E"/>
    <w:rsid w:val="00E56322"/>
    <w:rsid w:val="00E60935"/>
    <w:rsid w:val="00E60982"/>
    <w:rsid w:val="00E618AD"/>
    <w:rsid w:val="00E62C62"/>
    <w:rsid w:val="00E631E1"/>
    <w:rsid w:val="00E654C1"/>
    <w:rsid w:val="00E65D97"/>
    <w:rsid w:val="00E72A5A"/>
    <w:rsid w:val="00E73354"/>
    <w:rsid w:val="00E91923"/>
    <w:rsid w:val="00E9242D"/>
    <w:rsid w:val="00E97583"/>
    <w:rsid w:val="00E97986"/>
    <w:rsid w:val="00EA0BFB"/>
    <w:rsid w:val="00EA1534"/>
    <w:rsid w:val="00EA219C"/>
    <w:rsid w:val="00EA4FB8"/>
    <w:rsid w:val="00EA5C4C"/>
    <w:rsid w:val="00EB5255"/>
    <w:rsid w:val="00EB5C47"/>
    <w:rsid w:val="00EB643E"/>
    <w:rsid w:val="00EC0FAC"/>
    <w:rsid w:val="00ED0639"/>
    <w:rsid w:val="00ED0F7C"/>
    <w:rsid w:val="00ED57A4"/>
    <w:rsid w:val="00EE6642"/>
    <w:rsid w:val="00EF4755"/>
    <w:rsid w:val="00EF4C44"/>
    <w:rsid w:val="00EF5588"/>
    <w:rsid w:val="00EF7135"/>
    <w:rsid w:val="00F027DB"/>
    <w:rsid w:val="00F076FA"/>
    <w:rsid w:val="00F122DB"/>
    <w:rsid w:val="00F14A7A"/>
    <w:rsid w:val="00F22201"/>
    <w:rsid w:val="00F22985"/>
    <w:rsid w:val="00F25E94"/>
    <w:rsid w:val="00F330C5"/>
    <w:rsid w:val="00F3383E"/>
    <w:rsid w:val="00F3596C"/>
    <w:rsid w:val="00F447EC"/>
    <w:rsid w:val="00F465A7"/>
    <w:rsid w:val="00F50B7C"/>
    <w:rsid w:val="00F550E6"/>
    <w:rsid w:val="00F7290F"/>
    <w:rsid w:val="00F74345"/>
    <w:rsid w:val="00F80A0A"/>
    <w:rsid w:val="00F80FD0"/>
    <w:rsid w:val="00F82B19"/>
    <w:rsid w:val="00F8753A"/>
    <w:rsid w:val="00F9212D"/>
    <w:rsid w:val="00F964FF"/>
    <w:rsid w:val="00F965DA"/>
    <w:rsid w:val="00FA14DD"/>
    <w:rsid w:val="00FA3990"/>
    <w:rsid w:val="00FA406A"/>
    <w:rsid w:val="00FA731E"/>
    <w:rsid w:val="00FB503A"/>
    <w:rsid w:val="00FB516C"/>
    <w:rsid w:val="00FB701F"/>
    <w:rsid w:val="00FC0260"/>
    <w:rsid w:val="00FC4827"/>
    <w:rsid w:val="00FD0236"/>
    <w:rsid w:val="00FD18F4"/>
    <w:rsid w:val="00FD54DB"/>
    <w:rsid w:val="00FD619F"/>
    <w:rsid w:val="00FD69F7"/>
    <w:rsid w:val="00FE44B4"/>
    <w:rsid w:val="00FE7087"/>
    <w:rsid w:val="00FF0512"/>
    <w:rsid w:val="00FF2891"/>
    <w:rsid w:val="01290F7E"/>
    <w:rsid w:val="014F7D58"/>
    <w:rsid w:val="015D1E09"/>
    <w:rsid w:val="02697903"/>
    <w:rsid w:val="02F96569"/>
    <w:rsid w:val="03316945"/>
    <w:rsid w:val="03942F69"/>
    <w:rsid w:val="03EA7B21"/>
    <w:rsid w:val="05CA6B16"/>
    <w:rsid w:val="05F83EAE"/>
    <w:rsid w:val="063E7D85"/>
    <w:rsid w:val="07293586"/>
    <w:rsid w:val="07295285"/>
    <w:rsid w:val="07636392"/>
    <w:rsid w:val="076444C8"/>
    <w:rsid w:val="07770C56"/>
    <w:rsid w:val="07F21F9D"/>
    <w:rsid w:val="081C6B27"/>
    <w:rsid w:val="092217DD"/>
    <w:rsid w:val="093A7294"/>
    <w:rsid w:val="09464ED3"/>
    <w:rsid w:val="095C17D9"/>
    <w:rsid w:val="096C4846"/>
    <w:rsid w:val="09EE34AA"/>
    <w:rsid w:val="0A263993"/>
    <w:rsid w:val="0A2D3AC2"/>
    <w:rsid w:val="0AA755DF"/>
    <w:rsid w:val="0B120D44"/>
    <w:rsid w:val="0B4B4F27"/>
    <w:rsid w:val="0B520D17"/>
    <w:rsid w:val="0B733C1F"/>
    <w:rsid w:val="0B7B661F"/>
    <w:rsid w:val="0BD27BF6"/>
    <w:rsid w:val="0C3B3C7D"/>
    <w:rsid w:val="0C530D1A"/>
    <w:rsid w:val="0C754E68"/>
    <w:rsid w:val="0C7E5334"/>
    <w:rsid w:val="0CAB2EAE"/>
    <w:rsid w:val="0D0B6097"/>
    <w:rsid w:val="0D621C7D"/>
    <w:rsid w:val="0D7F25FE"/>
    <w:rsid w:val="0E73034D"/>
    <w:rsid w:val="0EEE70E7"/>
    <w:rsid w:val="0F13775A"/>
    <w:rsid w:val="0F5F45FE"/>
    <w:rsid w:val="0F9A112B"/>
    <w:rsid w:val="0FE61C7D"/>
    <w:rsid w:val="106D2F64"/>
    <w:rsid w:val="10B63710"/>
    <w:rsid w:val="10F10820"/>
    <w:rsid w:val="111C2F7A"/>
    <w:rsid w:val="114A2249"/>
    <w:rsid w:val="11665CA1"/>
    <w:rsid w:val="126D131B"/>
    <w:rsid w:val="12770AA9"/>
    <w:rsid w:val="12CF75E2"/>
    <w:rsid w:val="13173687"/>
    <w:rsid w:val="13775F7C"/>
    <w:rsid w:val="13951726"/>
    <w:rsid w:val="14396509"/>
    <w:rsid w:val="14DD2C3C"/>
    <w:rsid w:val="15981BA9"/>
    <w:rsid w:val="16087E1D"/>
    <w:rsid w:val="17426E1D"/>
    <w:rsid w:val="175E3FFB"/>
    <w:rsid w:val="17701D14"/>
    <w:rsid w:val="17735226"/>
    <w:rsid w:val="17CE4D17"/>
    <w:rsid w:val="189F624C"/>
    <w:rsid w:val="19060097"/>
    <w:rsid w:val="1A1C66C0"/>
    <w:rsid w:val="1A413519"/>
    <w:rsid w:val="1A42393B"/>
    <w:rsid w:val="1A4E0CAA"/>
    <w:rsid w:val="1AAD45DE"/>
    <w:rsid w:val="1AC31C7C"/>
    <w:rsid w:val="1B046F80"/>
    <w:rsid w:val="1B2F149C"/>
    <w:rsid w:val="1B3267B5"/>
    <w:rsid w:val="1B40161D"/>
    <w:rsid w:val="1B441859"/>
    <w:rsid w:val="1B6606B1"/>
    <w:rsid w:val="1C5E7925"/>
    <w:rsid w:val="1CDB7C02"/>
    <w:rsid w:val="1CFD070F"/>
    <w:rsid w:val="1D1C46A5"/>
    <w:rsid w:val="1D5F6196"/>
    <w:rsid w:val="1D6132A5"/>
    <w:rsid w:val="1D8E56D5"/>
    <w:rsid w:val="1DAA3B70"/>
    <w:rsid w:val="1E3157AB"/>
    <w:rsid w:val="1E7A43DA"/>
    <w:rsid w:val="1F066FD9"/>
    <w:rsid w:val="1FE7539E"/>
    <w:rsid w:val="20671BE0"/>
    <w:rsid w:val="20963CB8"/>
    <w:rsid w:val="20A81A1B"/>
    <w:rsid w:val="20B07FB6"/>
    <w:rsid w:val="20B46D24"/>
    <w:rsid w:val="20B646FB"/>
    <w:rsid w:val="213B74B1"/>
    <w:rsid w:val="215A2310"/>
    <w:rsid w:val="21CF315A"/>
    <w:rsid w:val="21DE318A"/>
    <w:rsid w:val="21EF5B80"/>
    <w:rsid w:val="223A7C8D"/>
    <w:rsid w:val="22576990"/>
    <w:rsid w:val="22816BA4"/>
    <w:rsid w:val="229D16DD"/>
    <w:rsid w:val="22B6285B"/>
    <w:rsid w:val="22F47480"/>
    <w:rsid w:val="238B5C8C"/>
    <w:rsid w:val="23DE1C48"/>
    <w:rsid w:val="240210CD"/>
    <w:rsid w:val="245D2F98"/>
    <w:rsid w:val="246213C3"/>
    <w:rsid w:val="24BF09F7"/>
    <w:rsid w:val="24C551BC"/>
    <w:rsid w:val="252D53FE"/>
    <w:rsid w:val="25C812C0"/>
    <w:rsid w:val="25DE2F98"/>
    <w:rsid w:val="25EC2D81"/>
    <w:rsid w:val="272C37CA"/>
    <w:rsid w:val="2751784D"/>
    <w:rsid w:val="277057A2"/>
    <w:rsid w:val="282F35CD"/>
    <w:rsid w:val="283A50D1"/>
    <w:rsid w:val="285550FF"/>
    <w:rsid w:val="28954CCF"/>
    <w:rsid w:val="28CA01D8"/>
    <w:rsid w:val="29206EB8"/>
    <w:rsid w:val="29595666"/>
    <w:rsid w:val="29874881"/>
    <w:rsid w:val="29DF58A9"/>
    <w:rsid w:val="29E325E0"/>
    <w:rsid w:val="2A452503"/>
    <w:rsid w:val="2B3C216B"/>
    <w:rsid w:val="2B7C32D6"/>
    <w:rsid w:val="2B95449A"/>
    <w:rsid w:val="2BA936A8"/>
    <w:rsid w:val="2C19125A"/>
    <w:rsid w:val="2C315A5A"/>
    <w:rsid w:val="2C4B1C25"/>
    <w:rsid w:val="2D0C324E"/>
    <w:rsid w:val="2D7B7CF2"/>
    <w:rsid w:val="2D9E56F5"/>
    <w:rsid w:val="2E4843CE"/>
    <w:rsid w:val="2E667F96"/>
    <w:rsid w:val="2E8226AB"/>
    <w:rsid w:val="2F3C2207"/>
    <w:rsid w:val="2FD065E6"/>
    <w:rsid w:val="2FD24988"/>
    <w:rsid w:val="2FD96870"/>
    <w:rsid w:val="2FDB0F1C"/>
    <w:rsid w:val="30580BC9"/>
    <w:rsid w:val="311E2ED7"/>
    <w:rsid w:val="315619EE"/>
    <w:rsid w:val="315C449C"/>
    <w:rsid w:val="31B82709"/>
    <w:rsid w:val="31D05482"/>
    <w:rsid w:val="323029AB"/>
    <w:rsid w:val="32400B34"/>
    <w:rsid w:val="3273265E"/>
    <w:rsid w:val="329E6876"/>
    <w:rsid w:val="32DD4CAB"/>
    <w:rsid w:val="333015F2"/>
    <w:rsid w:val="33357E27"/>
    <w:rsid w:val="334B6320"/>
    <w:rsid w:val="33D934D4"/>
    <w:rsid w:val="33FE2F6A"/>
    <w:rsid w:val="340E07E5"/>
    <w:rsid w:val="34235BF7"/>
    <w:rsid w:val="358C5FA8"/>
    <w:rsid w:val="35C15DF1"/>
    <w:rsid w:val="36074A7F"/>
    <w:rsid w:val="36145188"/>
    <w:rsid w:val="361922D2"/>
    <w:rsid w:val="3634178E"/>
    <w:rsid w:val="36923549"/>
    <w:rsid w:val="36B75FBF"/>
    <w:rsid w:val="36BD0C45"/>
    <w:rsid w:val="36C5411F"/>
    <w:rsid w:val="36CC5A63"/>
    <w:rsid w:val="37731931"/>
    <w:rsid w:val="37E00298"/>
    <w:rsid w:val="3870241E"/>
    <w:rsid w:val="38B302F9"/>
    <w:rsid w:val="38F12CD3"/>
    <w:rsid w:val="38F94775"/>
    <w:rsid w:val="391E32D9"/>
    <w:rsid w:val="392971ED"/>
    <w:rsid w:val="39325651"/>
    <w:rsid w:val="395001C0"/>
    <w:rsid w:val="39DF01FC"/>
    <w:rsid w:val="3A192914"/>
    <w:rsid w:val="3A647AD7"/>
    <w:rsid w:val="3A78285F"/>
    <w:rsid w:val="3A872856"/>
    <w:rsid w:val="3ABC780E"/>
    <w:rsid w:val="3B3763D1"/>
    <w:rsid w:val="3B95140A"/>
    <w:rsid w:val="3BDD5A69"/>
    <w:rsid w:val="3BE76C9C"/>
    <w:rsid w:val="3C2F6E1E"/>
    <w:rsid w:val="3C4F64BA"/>
    <w:rsid w:val="3CDA245A"/>
    <w:rsid w:val="3CFC24D2"/>
    <w:rsid w:val="3D1E06B7"/>
    <w:rsid w:val="3D3A0D58"/>
    <w:rsid w:val="3EDA0523"/>
    <w:rsid w:val="3F426F6A"/>
    <w:rsid w:val="3FF668FA"/>
    <w:rsid w:val="406641CE"/>
    <w:rsid w:val="407A6407"/>
    <w:rsid w:val="4200449D"/>
    <w:rsid w:val="423A3BCC"/>
    <w:rsid w:val="424E57D2"/>
    <w:rsid w:val="424E59F4"/>
    <w:rsid w:val="42A3566C"/>
    <w:rsid w:val="42B26C49"/>
    <w:rsid w:val="433A6FE6"/>
    <w:rsid w:val="433E46EE"/>
    <w:rsid w:val="43480868"/>
    <w:rsid w:val="4350713C"/>
    <w:rsid w:val="436653E0"/>
    <w:rsid w:val="43740362"/>
    <w:rsid w:val="43C4431A"/>
    <w:rsid w:val="44B951CC"/>
    <w:rsid w:val="44CD14E0"/>
    <w:rsid w:val="44D2601D"/>
    <w:rsid w:val="44F20B0B"/>
    <w:rsid w:val="44FA1C46"/>
    <w:rsid w:val="45211936"/>
    <w:rsid w:val="452E5F4C"/>
    <w:rsid w:val="45612018"/>
    <w:rsid w:val="458946E9"/>
    <w:rsid w:val="45A47C0E"/>
    <w:rsid w:val="45F10850"/>
    <w:rsid w:val="46577FD6"/>
    <w:rsid w:val="465869CB"/>
    <w:rsid w:val="46B561D0"/>
    <w:rsid w:val="46D955A7"/>
    <w:rsid w:val="47133957"/>
    <w:rsid w:val="47A07E0C"/>
    <w:rsid w:val="4807234F"/>
    <w:rsid w:val="4870272E"/>
    <w:rsid w:val="48A028AB"/>
    <w:rsid w:val="4924528A"/>
    <w:rsid w:val="497D499A"/>
    <w:rsid w:val="49DC7715"/>
    <w:rsid w:val="49E24D9D"/>
    <w:rsid w:val="4A023139"/>
    <w:rsid w:val="4A1E7AD2"/>
    <w:rsid w:val="4A7B576F"/>
    <w:rsid w:val="4AAC4E42"/>
    <w:rsid w:val="4ABB5A54"/>
    <w:rsid w:val="4AF561A9"/>
    <w:rsid w:val="4BDF66FF"/>
    <w:rsid w:val="4C4A0649"/>
    <w:rsid w:val="4C7E5ECA"/>
    <w:rsid w:val="4C876AA5"/>
    <w:rsid w:val="4CDF6B40"/>
    <w:rsid w:val="4D0E00FB"/>
    <w:rsid w:val="4D176606"/>
    <w:rsid w:val="4DEC4FB0"/>
    <w:rsid w:val="4E075D8A"/>
    <w:rsid w:val="4E1633DE"/>
    <w:rsid w:val="4E16664B"/>
    <w:rsid w:val="4E3E0806"/>
    <w:rsid w:val="4E4C150B"/>
    <w:rsid w:val="4EA01586"/>
    <w:rsid w:val="4EC00FAD"/>
    <w:rsid w:val="4F1259A8"/>
    <w:rsid w:val="4F9843DC"/>
    <w:rsid w:val="4FC62A8C"/>
    <w:rsid w:val="4FE20F0D"/>
    <w:rsid w:val="4FE51552"/>
    <w:rsid w:val="50504C4B"/>
    <w:rsid w:val="509C3D72"/>
    <w:rsid w:val="509C6E7C"/>
    <w:rsid w:val="51556E43"/>
    <w:rsid w:val="5162104E"/>
    <w:rsid w:val="51D20DFB"/>
    <w:rsid w:val="52F21F55"/>
    <w:rsid w:val="535F6472"/>
    <w:rsid w:val="53A039CC"/>
    <w:rsid w:val="53A1505A"/>
    <w:rsid w:val="53AC11EC"/>
    <w:rsid w:val="53C71634"/>
    <w:rsid w:val="54063E08"/>
    <w:rsid w:val="543437E8"/>
    <w:rsid w:val="54F73313"/>
    <w:rsid w:val="54F80955"/>
    <w:rsid w:val="555170A7"/>
    <w:rsid w:val="5587536D"/>
    <w:rsid w:val="559B174B"/>
    <w:rsid w:val="55CE0CF4"/>
    <w:rsid w:val="567D4B2B"/>
    <w:rsid w:val="56B22A9C"/>
    <w:rsid w:val="577122E2"/>
    <w:rsid w:val="57B72A76"/>
    <w:rsid w:val="57C3426C"/>
    <w:rsid w:val="57CE1F93"/>
    <w:rsid w:val="588743D1"/>
    <w:rsid w:val="5887701A"/>
    <w:rsid w:val="59A231C6"/>
    <w:rsid w:val="59C0439F"/>
    <w:rsid w:val="5A2C6C85"/>
    <w:rsid w:val="5ABE2233"/>
    <w:rsid w:val="5B007EE1"/>
    <w:rsid w:val="5B5437AD"/>
    <w:rsid w:val="5BD66B49"/>
    <w:rsid w:val="5BDF5D95"/>
    <w:rsid w:val="5BFE7528"/>
    <w:rsid w:val="5D2E7D8F"/>
    <w:rsid w:val="5DF555E5"/>
    <w:rsid w:val="5E2467F1"/>
    <w:rsid w:val="5F1A2B43"/>
    <w:rsid w:val="5FB05672"/>
    <w:rsid w:val="5FB837BB"/>
    <w:rsid w:val="60CC405A"/>
    <w:rsid w:val="615D0EE2"/>
    <w:rsid w:val="61724782"/>
    <w:rsid w:val="61E215D8"/>
    <w:rsid w:val="6214429D"/>
    <w:rsid w:val="621B3775"/>
    <w:rsid w:val="62364782"/>
    <w:rsid w:val="62C4402F"/>
    <w:rsid w:val="6394356A"/>
    <w:rsid w:val="63C61B2C"/>
    <w:rsid w:val="63D40BE9"/>
    <w:rsid w:val="64102431"/>
    <w:rsid w:val="643F38F7"/>
    <w:rsid w:val="644507DA"/>
    <w:rsid w:val="647E019E"/>
    <w:rsid w:val="64A5243A"/>
    <w:rsid w:val="64F531DE"/>
    <w:rsid w:val="65373578"/>
    <w:rsid w:val="6566456D"/>
    <w:rsid w:val="658243F3"/>
    <w:rsid w:val="65D52A63"/>
    <w:rsid w:val="65D544DD"/>
    <w:rsid w:val="66554C26"/>
    <w:rsid w:val="66986356"/>
    <w:rsid w:val="66D87988"/>
    <w:rsid w:val="671F124A"/>
    <w:rsid w:val="677A33C6"/>
    <w:rsid w:val="677F1A66"/>
    <w:rsid w:val="681D0132"/>
    <w:rsid w:val="681F6961"/>
    <w:rsid w:val="68610A2F"/>
    <w:rsid w:val="68805514"/>
    <w:rsid w:val="68DC3034"/>
    <w:rsid w:val="68E54049"/>
    <w:rsid w:val="69316E2F"/>
    <w:rsid w:val="694E2071"/>
    <w:rsid w:val="69605A13"/>
    <w:rsid w:val="69766163"/>
    <w:rsid w:val="69772CD3"/>
    <w:rsid w:val="697A3B33"/>
    <w:rsid w:val="698E036D"/>
    <w:rsid w:val="69D44760"/>
    <w:rsid w:val="69F722B1"/>
    <w:rsid w:val="6A5135AE"/>
    <w:rsid w:val="6A520EC7"/>
    <w:rsid w:val="6AB01852"/>
    <w:rsid w:val="6AF87E20"/>
    <w:rsid w:val="6B322639"/>
    <w:rsid w:val="6B331D28"/>
    <w:rsid w:val="6B5044EB"/>
    <w:rsid w:val="6B5A0A5A"/>
    <w:rsid w:val="6B6F018F"/>
    <w:rsid w:val="6C636C38"/>
    <w:rsid w:val="6CCA46D2"/>
    <w:rsid w:val="6CCC3665"/>
    <w:rsid w:val="6DB34098"/>
    <w:rsid w:val="6DB545B6"/>
    <w:rsid w:val="6DE02FB4"/>
    <w:rsid w:val="6E514CED"/>
    <w:rsid w:val="6E780E3D"/>
    <w:rsid w:val="6E7F06E9"/>
    <w:rsid w:val="6E8D16E9"/>
    <w:rsid w:val="6E9B6AA7"/>
    <w:rsid w:val="6EB563D5"/>
    <w:rsid w:val="6ECC209E"/>
    <w:rsid w:val="6ED92677"/>
    <w:rsid w:val="6F225983"/>
    <w:rsid w:val="6F973341"/>
    <w:rsid w:val="6FFC5590"/>
    <w:rsid w:val="702A0B29"/>
    <w:rsid w:val="703A6B48"/>
    <w:rsid w:val="706D1DD0"/>
    <w:rsid w:val="70856B87"/>
    <w:rsid w:val="70D527EE"/>
    <w:rsid w:val="715B5300"/>
    <w:rsid w:val="71D27F8A"/>
    <w:rsid w:val="72553024"/>
    <w:rsid w:val="7278052B"/>
    <w:rsid w:val="72FE4B71"/>
    <w:rsid w:val="73122968"/>
    <w:rsid w:val="731F5D5E"/>
    <w:rsid w:val="73321DF8"/>
    <w:rsid w:val="733C759B"/>
    <w:rsid w:val="73C51AD5"/>
    <w:rsid w:val="73E65905"/>
    <w:rsid w:val="741E793C"/>
    <w:rsid w:val="74264768"/>
    <w:rsid w:val="745E3944"/>
    <w:rsid w:val="7635099D"/>
    <w:rsid w:val="766931AB"/>
    <w:rsid w:val="76DB492B"/>
    <w:rsid w:val="77066C9A"/>
    <w:rsid w:val="773A3D47"/>
    <w:rsid w:val="775F0A21"/>
    <w:rsid w:val="77762421"/>
    <w:rsid w:val="77B56B1F"/>
    <w:rsid w:val="77E17F19"/>
    <w:rsid w:val="780F09F4"/>
    <w:rsid w:val="782E3440"/>
    <w:rsid w:val="78360D5D"/>
    <w:rsid w:val="78A90480"/>
    <w:rsid w:val="790341C4"/>
    <w:rsid w:val="794E56C7"/>
    <w:rsid w:val="7A364017"/>
    <w:rsid w:val="7A4D5E3E"/>
    <w:rsid w:val="7A745214"/>
    <w:rsid w:val="7A8265E1"/>
    <w:rsid w:val="7AD7365B"/>
    <w:rsid w:val="7B39133B"/>
    <w:rsid w:val="7B640AC2"/>
    <w:rsid w:val="7B686D42"/>
    <w:rsid w:val="7B841746"/>
    <w:rsid w:val="7BF81ADB"/>
    <w:rsid w:val="7C5B34E1"/>
    <w:rsid w:val="7C647170"/>
    <w:rsid w:val="7C6C5AC7"/>
    <w:rsid w:val="7C732C4A"/>
    <w:rsid w:val="7CC6544B"/>
    <w:rsid w:val="7CE10A25"/>
    <w:rsid w:val="7D0239FF"/>
    <w:rsid w:val="7D5E40CD"/>
    <w:rsid w:val="7DCD56F2"/>
    <w:rsid w:val="7EB22CA9"/>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7"/>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2"/>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54"/>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6">
    <w:name w:val="Normal Indent"/>
    <w:basedOn w:val="1"/>
    <w:link w:val="51"/>
    <w:qFormat/>
    <w:locked/>
    <w:uiPriority w:val="99"/>
    <w:pPr>
      <w:ind w:firstLine="420"/>
    </w:pPr>
    <w:rPr>
      <w:sz w:val="32"/>
      <w:szCs w:val="20"/>
    </w:rPr>
  </w:style>
  <w:style w:type="paragraph" w:styleId="7">
    <w:name w:val="annotation text"/>
    <w:basedOn w:val="1"/>
    <w:link w:val="31"/>
    <w:semiHidden/>
    <w:qFormat/>
    <w:uiPriority w:val="0"/>
    <w:pPr>
      <w:jc w:val="left"/>
    </w:pPr>
    <w:rPr>
      <w:kern w:val="0"/>
      <w:sz w:val="24"/>
      <w:szCs w:val="20"/>
    </w:rPr>
  </w:style>
  <w:style w:type="paragraph" w:styleId="8">
    <w:name w:val="Body Text"/>
    <w:basedOn w:val="1"/>
    <w:link w:val="30"/>
    <w:qFormat/>
    <w:uiPriority w:val="0"/>
    <w:pPr>
      <w:widowControl/>
      <w:snapToGrid w:val="0"/>
      <w:spacing w:before="60" w:after="160" w:line="259" w:lineRule="auto"/>
      <w:ind w:right="113"/>
    </w:pPr>
    <w:rPr>
      <w:kern w:val="0"/>
      <w:sz w:val="18"/>
      <w:szCs w:val="20"/>
    </w:rPr>
  </w:style>
  <w:style w:type="paragraph" w:styleId="9">
    <w:name w:val="Body Text Indent"/>
    <w:basedOn w:val="1"/>
    <w:link w:val="39"/>
    <w:qFormat/>
    <w:uiPriority w:val="0"/>
    <w:pPr>
      <w:spacing w:after="120"/>
      <w:ind w:left="420" w:leftChars="200"/>
    </w:pPr>
    <w:rPr>
      <w:kern w:val="0"/>
      <w:sz w:val="24"/>
      <w:szCs w:val="20"/>
    </w:rPr>
  </w:style>
  <w:style w:type="paragraph" w:styleId="10">
    <w:name w:val="Block Text"/>
    <w:basedOn w:val="1"/>
    <w:qFormat/>
    <w:locked/>
    <w:uiPriority w:val="0"/>
    <w:pPr>
      <w:spacing w:after="120"/>
      <w:ind w:left="1440" w:leftChars="700" w:right="1440" w:rightChars="700"/>
    </w:pPr>
  </w:style>
  <w:style w:type="paragraph" w:styleId="11">
    <w:name w:val="Plain Text"/>
    <w:basedOn w:val="1"/>
    <w:link w:val="70"/>
    <w:qFormat/>
    <w:locked/>
    <w:uiPriority w:val="0"/>
    <w:pPr>
      <w:spacing w:line="420" w:lineRule="exact"/>
      <w:ind w:firstLine="200" w:firstLineChars="200"/>
    </w:pPr>
    <w:rPr>
      <w:rFonts w:ascii="宋体" w:hAnsi="Courier New" w:cs="Courier New"/>
      <w:szCs w:val="21"/>
    </w:rPr>
  </w:style>
  <w:style w:type="paragraph" w:styleId="12">
    <w:name w:val="Date"/>
    <w:basedOn w:val="1"/>
    <w:next w:val="1"/>
    <w:link w:val="26"/>
    <w:qFormat/>
    <w:uiPriority w:val="0"/>
    <w:pPr>
      <w:ind w:left="100" w:leftChars="2500"/>
    </w:pPr>
    <w:rPr>
      <w:kern w:val="0"/>
      <w:sz w:val="24"/>
      <w:szCs w:val="20"/>
    </w:rPr>
  </w:style>
  <w:style w:type="paragraph" w:styleId="13">
    <w:name w:val="Balloon Text"/>
    <w:basedOn w:val="1"/>
    <w:link w:val="35"/>
    <w:semiHidden/>
    <w:qFormat/>
    <w:uiPriority w:val="0"/>
    <w:rPr>
      <w:kern w:val="0"/>
      <w:sz w:val="18"/>
      <w:szCs w:val="20"/>
    </w:rPr>
  </w:style>
  <w:style w:type="paragraph" w:styleId="14">
    <w:name w:val="footer"/>
    <w:basedOn w:val="1"/>
    <w:link w:val="25"/>
    <w:qFormat/>
    <w:uiPriority w:val="99"/>
    <w:pPr>
      <w:tabs>
        <w:tab w:val="center" w:pos="4153"/>
        <w:tab w:val="right" w:pos="8306"/>
      </w:tabs>
      <w:snapToGrid w:val="0"/>
      <w:jc w:val="left"/>
    </w:pPr>
    <w:rPr>
      <w:kern w:val="0"/>
      <w:sz w:val="18"/>
      <w:szCs w:val="20"/>
    </w:rPr>
  </w:style>
  <w:style w:type="paragraph" w:styleId="15">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28"/>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7"/>
    <w:next w:val="7"/>
    <w:link w:val="36"/>
    <w:semiHidden/>
    <w:qFormat/>
    <w:uiPriority w:val="0"/>
    <w:rPr>
      <w:b/>
    </w:rPr>
  </w:style>
  <w:style w:type="paragraph" w:styleId="18">
    <w:name w:val="Body Text First Indent 2"/>
    <w:basedOn w:val="9"/>
    <w:next w:val="1"/>
    <w:link w:val="73"/>
    <w:qFormat/>
    <w:locked/>
    <w:uiPriority w:val="0"/>
    <w:pPr>
      <w:ind w:firstLine="420" w:firstLineChars="200"/>
    </w:pPr>
    <w:rPr>
      <w:kern w:val="2"/>
      <w:sz w:val="21"/>
      <w:szCs w:val="24"/>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locked/>
    <w:uiPriority w:val="0"/>
  </w:style>
  <w:style w:type="character" w:styleId="23">
    <w:name w:val="Hyperlink"/>
    <w:basedOn w:val="21"/>
    <w:qFormat/>
    <w:locked/>
    <w:uiPriority w:val="0"/>
    <w:rPr>
      <w:color w:val="0563C1" w:themeColor="hyperlink"/>
      <w:u w:val="single"/>
      <w14:textFill>
        <w14:solidFill>
          <w14:schemeClr w14:val="hlink"/>
        </w14:solidFill>
      </w14:textFill>
    </w:rPr>
  </w:style>
  <w:style w:type="character" w:styleId="24">
    <w:name w:val="annotation reference"/>
    <w:semiHidden/>
    <w:qFormat/>
    <w:uiPriority w:val="0"/>
    <w:rPr>
      <w:sz w:val="21"/>
    </w:rPr>
  </w:style>
  <w:style w:type="character" w:customStyle="1" w:styleId="25">
    <w:name w:val="页脚 字符1"/>
    <w:link w:val="14"/>
    <w:qFormat/>
    <w:locked/>
    <w:uiPriority w:val="99"/>
    <w:rPr>
      <w:sz w:val="18"/>
    </w:rPr>
  </w:style>
  <w:style w:type="character" w:customStyle="1" w:styleId="26">
    <w:name w:val="日期 字符1"/>
    <w:link w:val="12"/>
    <w:qFormat/>
    <w:locked/>
    <w:uiPriority w:val="0"/>
    <w:rPr>
      <w:rFonts w:ascii="Times New Roman" w:hAnsi="Times New Roman" w:eastAsia="宋体"/>
      <w:sz w:val="24"/>
    </w:rPr>
  </w:style>
  <w:style w:type="character" w:customStyle="1" w:styleId="27">
    <w:name w:val="页脚 字符"/>
    <w:basedOn w:val="21"/>
    <w:qFormat/>
    <w:uiPriority w:val="99"/>
  </w:style>
  <w:style w:type="character" w:customStyle="1" w:styleId="28">
    <w:name w:val="普通(网站) 字符"/>
    <w:link w:val="16"/>
    <w:qFormat/>
    <w:locked/>
    <w:uiPriority w:val="0"/>
    <w:rPr>
      <w:rFonts w:ascii="宋体" w:hAnsi="宋体" w:eastAsia="宋体"/>
      <w:sz w:val="24"/>
    </w:rPr>
  </w:style>
  <w:style w:type="character" w:customStyle="1" w:styleId="29">
    <w:name w:val="正文文本 字符1"/>
    <w:semiHidden/>
    <w:qFormat/>
    <w:uiPriority w:val="0"/>
    <w:rPr>
      <w:rFonts w:ascii="Times New Roman" w:hAnsi="Times New Roman" w:eastAsia="宋体"/>
      <w:sz w:val="24"/>
    </w:rPr>
  </w:style>
  <w:style w:type="character" w:customStyle="1" w:styleId="30">
    <w:name w:val="正文文本 字符"/>
    <w:link w:val="8"/>
    <w:qFormat/>
    <w:locked/>
    <w:uiPriority w:val="0"/>
    <w:rPr>
      <w:sz w:val="18"/>
    </w:rPr>
  </w:style>
  <w:style w:type="character" w:customStyle="1" w:styleId="31">
    <w:name w:val="批注文字 字符"/>
    <w:link w:val="7"/>
    <w:qFormat/>
    <w:locked/>
    <w:uiPriority w:val="0"/>
    <w:rPr>
      <w:rFonts w:ascii="Times New Roman" w:hAnsi="Times New Roman" w:eastAsia="宋体"/>
      <w:sz w:val="24"/>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4">
    <w:name w:val="日期 字符"/>
    <w:semiHidden/>
    <w:qFormat/>
    <w:uiPriority w:val="0"/>
    <w:rPr>
      <w:rFonts w:ascii="Times New Roman" w:hAnsi="Times New Roman" w:eastAsia="宋体"/>
      <w:sz w:val="24"/>
    </w:rPr>
  </w:style>
  <w:style w:type="character" w:customStyle="1" w:styleId="35">
    <w:name w:val="批注框文本 字符"/>
    <w:link w:val="13"/>
    <w:semiHidden/>
    <w:qFormat/>
    <w:locked/>
    <w:uiPriority w:val="0"/>
    <w:rPr>
      <w:rFonts w:ascii="Times New Roman" w:hAnsi="Times New Roman" w:eastAsia="宋体"/>
      <w:sz w:val="18"/>
    </w:rPr>
  </w:style>
  <w:style w:type="character" w:customStyle="1" w:styleId="36">
    <w:name w:val="批注主题 字符"/>
    <w:link w:val="17"/>
    <w:semiHidden/>
    <w:qFormat/>
    <w:locked/>
    <w:uiPriority w:val="0"/>
    <w:rPr>
      <w:rFonts w:ascii="Times New Roman" w:hAnsi="Times New Roman" w:eastAsia="宋体"/>
      <w:b/>
      <w:kern w:val="2"/>
      <w:sz w:val="24"/>
    </w:rPr>
  </w:style>
  <w:style w:type="character" w:customStyle="1" w:styleId="37">
    <w:name w:val="页眉 字符"/>
    <w:link w:val="15"/>
    <w:qFormat/>
    <w:locked/>
    <w:uiPriority w:val="0"/>
    <w:rPr>
      <w:sz w:val="18"/>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文本缩进 字符"/>
    <w:link w:val="9"/>
    <w:semiHidden/>
    <w:qFormat/>
    <w:locked/>
    <w:uiPriority w:val="0"/>
    <w:rPr>
      <w:rFonts w:ascii="Times New Roman" w:hAnsi="Times New Roman" w:eastAsia="宋体"/>
      <w:sz w:val="24"/>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2">
    <w:name w:val="1 Char"/>
    <w:basedOn w:val="1"/>
    <w:qFormat/>
    <w:uiPriority w:val="0"/>
    <w:pPr>
      <w:spacing w:line="360" w:lineRule="auto"/>
      <w:ind w:firstLine="1446" w:firstLineChars="200"/>
    </w:pPr>
    <w:rPr>
      <w:sz w:val="24"/>
      <w:szCs w:val="22"/>
    </w:rPr>
  </w:style>
  <w:style w:type="paragraph" w:customStyle="1" w:styleId="43">
    <w:name w:val="标准正文"/>
    <w:basedOn w:val="1"/>
    <w:qFormat/>
    <w:uiPriority w:val="0"/>
    <w:pPr>
      <w:spacing w:line="480" w:lineRule="auto"/>
      <w:ind w:firstLine="560" w:firstLineChars="200"/>
    </w:pPr>
    <w:rPr>
      <w:sz w:val="28"/>
      <w:szCs w:val="20"/>
    </w:rPr>
  </w:style>
  <w:style w:type="paragraph" w:customStyle="1" w:styleId="44">
    <w:name w:val="表格内容样式"/>
    <w:next w:val="1"/>
    <w:qFormat/>
    <w:uiPriority w:val="0"/>
    <w:pPr>
      <w:jc w:val="center"/>
    </w:pPr>
    <w:rPr>
      <w:rFonts w:ascii="Times New Roman" w:hAnsi="Times New Roman" w:eastAsia="宋体" w:cs="Times New Roman"/>
      <w:sz w:val="21"/>
      <w:szCs w:val="22"/>
      <w:lang w:val="en-US" w:eastAsia="zh-CN" w:bidi="ar-SA"/>
    </w:rPr>
  </w:style>
  <w:style w:type="paragraph" w:customStyle="1" w:styleId="45">
    <w:name w:val="表文字"/>
    <w:basedOn w:val="1"/>
    <w:qFormat/>
    <w:uiPriority w:val="0"/>
    <w:pPr>
      <w:overflowPunct w:val="0"/>
      <w:autoSpaceDE w:val="0"/>
      <w:autoSpaceDN w:val="0"/>
      <w:adjustRightInd w:val="0"/>
      <w:jc w:val="center"/>
      <w:textAlignment w:val="baseline"/>
    </w:pPr>
    <w:rPr>
      <w:kern w:val="0"/>
      <w:szCs w:val="20"/>
    </w:rPr>
  </w:style>
  <w:style w:type="character" w:customStyle="1" w:styleId="46">
    <w:name w:val="正文内容 Char"/>
    <w:link w:val="47"/>
    <w:qFormat/>
    <w:uiPriority w:val="0"/>
    <w:rPr>
      <w:kern w:val="2"/>
      <w:sz w:val="24"/>
      <w:szCs w:val="24"/>
    </w:rPr>
  </w:style>
  <w:style w:type="paragraph" w:customStyle="1" w:styleId="47">
    <w:name w:val="正文内容"/>
    <w:link w:val="46"/>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48">
    <w:name w:val="表格内容5号 Char"/>
    <w:basedOn w:val="21"/>
    <w:link w:val="49"/>
    <w:qFormat/>
    <w:uiPriority w:val="0"/>
    <w:rPr>
      <w:kern w:val="2"/>
      <w:sz w:val="21"/>
      <w:szCs w:val="24"/>
    </w:rPr>
  </w:style>
  <w:style w:type="paragraph" w:customStyle="1" w:styleId="49">
    <w:name w:val="表格内容5号"/>
    <w:link w:val="48"/>
    <w:qFormat/>
    <w:uiPriority w:val="0"/>
    <w:pPr>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50">
    <w:name w:val="zwb_无格式"/>
    <w:basedOn w:val="1"/>
    <w:qFormat/>
    <w:uiPriority w:val="0"/>
    <w:pPr>
      <w:widowControl/>
    </w:pPr>
  </w:style>
  <w:style w:type="character" w:customStyle="1" w:styleId="51">
    <w:name w:val="正文缩进 字符"/>
    <w:basedOn w:val="21"/>
    <w:link w:val="6"/>
    <w:qFormat/>
    <w:uiPriority w:val="99"/>
    <w:rPr>
      <w:kern w:val="2"/>
      <w:sz w:val="32"/>
    </w:rPr>
  </w:style>
  <w:style w:type="paragraph" w:customStyle="1" w:styleId="52">
    <w:name w:val="表格文字"/>
    <w:basedOn w:val="1"/>
    <w:next w:val="1"/>
    <w:link w:val="53"/>
    <w:qFormat/>
    <w:uiPriority w:val="0"/>
    <w:pPr>
      <w:snapToGrid w:val="0"/>
      <w:jc w:val="center"/>
    </w:pPr>
    <w:rPr>
      <w:szCs w:val="21"/>
    </w:rPr>
  </w:style>
  <w:style w:type="character" w:customStyle="1" w:styleId="53">
    <w:name w:val="表格文字 Char Char"/>
    <w:link w:val="52"/>
    <w:qFormat/>
    <w:uiPriority w:val="0"/>
    <w:rPr>
      <w:kern w:val="2"/>
      <w:sz w:val="21"/>
      <w:szCs w:val="21"/>
    </w:rPr>
  </w:style>
  <w:style w:type="character" w:customStyle="1" w:styleId="54">
    <w:name w:val="标题 4 字符"/>
    <w:basedOn w:val="21"/>
    <w:link w:val="5"/>
    <w:semiHidden/>
    <w:qFormat/>
    <w:uiPriority w:val="0"/>
    <w:rPr>
      <w:rFonts w:asciiTheme="majorHAnsi" w:hAnsiTheme="majorHAnsi" w:eastAsiaTheme="majorEastAsia" w:cstheme="majorBidi"/>
      <w:b/>
      <w:bCs/>
      <w:kern w:val="2"/>
      <w:sz w:val="28"/>
      <w:szCs w:val="28"/>
    </w:rPr>
  </w:style>
  <w:style w:type="paragraph" w:customStyle="1" w:styleId="55">
    <w:name w:val="表格ST"/>
    <w:qForma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56">
    <w:name w:val="表格表头"/>
    <w:basedOn w:val="1"/>
    <w:qFormat/>
    <w:uiPriority w:val="0"/>
    <w:pPr>
      <w:spacing w:line="360" w:lineRule="auto"/>
      <w:jc w:val="center"/>
    </w:pPr>
    <w:rPr>
      <w:b/>
      <w:szCs w:val="22"/>
    </w:rPr>
  </w:style>
  <w:style w:type="character" w:customStyle="1" w:styleId="57">
    <w:name w:val="标题 2 字符"/>
    <w:basedOn w:val="21"/>
    <w:link w:val="3"/>
    <w:semiHidden/>
    <w:qFormat/>
    <w:uiPriority w:val="0"/>
    <w:rPr>
      <w:rFonts w:asciiTheme="majorHAnsi" w:hAnsiTheme="majorHAnsi" w:eastAsiaTheme="majorEastAsia" w:cstheme="majorBidi"/>
      <w:b/>
      <w:bCs/>
      <w:kern w:val="2"/>
      <w:sz w:val="32"/>
      <w:szCs w:val="32"/>
    </w:rPr>
  </w:style>
  <w:style w:type="character" w:customStyle="1" w:styleId="58">
    <w:name w:val="表格内容 Char"/>
    <w:link w:val="59"/>
    <w:qFormat/>
    <w:locked/>
    <w:uiPriority w:val="0"/>
    <w:rPr>
      <w:rFonts w:eastAsia="仿宋_GB2312"/>
      <w:kern w:val="2"/>
      <w:sz w:val="24"/>
      <w:szCs w:val="24"/>
    </w:rPr>
  </w:style>
  <w:style w:type="paragraph" w:customStyle="1" w:styleId="59">
    <w:name w:val="表格内容"/>
    <w:link w:val="58"/>
    <w:qFormat/>
    <w:uiPriority w:val="99"/>
    <w:pPr>
      <w:widowControl w:val="0"/>
      <w:snapToGrid w:val="0"/>
      <w:spacing w:line="240" w:lineRule="atLeast"/>
      <w:jc w:val="center"/>
    </w:pPr>
    <w:rPr>
      <w:rFonts w:ascii="Times New Roman" w:hAnsi="Times New Roman" w:eastAsia="仿宋_GB2312" w:cs="Times New Roman"/>
      <w:kern w:val="2"/>
      <w:sz w:val="24"/>
      <w:szCs w:val="24"/>
      <w:lang w:val="en-US" w:eastAsia="zh-CN" w:bidi="ar-SA"/>
    </w:rPr>
  </w:style>
  <w:style w:type="character" w:customStyle="1" w:styleId="60">
    <w:name w:val="标题HT Char Char"/>
    <w:link w:val="61"/>
    <w:qFormat/>
    <w:uiPriority w:val="0"/>
    <w:rPr>
      <w:rFonts w:ascii="Arial" w:hAnsi="Arial" w:eastAsia="黑体"/>
      <w:kern w:val="2"/>
      <w:sz w:val="24"/>
      <w:szCs w:val="24"/>
    </w:rPr>
  </w:style>
  <w:style w:type="paragraph" w:customStyle="1" w:styleId="61">
    <w:name w:val="标题HT"/>
    <w:link w:val="60"/>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62">
    <w:name w:val="表格文字L16"/>
    <w:basedOn w:val="1"/>
    <w:qFormat/>
    <w:uiPriority w:val="0"/>
    <w:pPr>
      <w:adjustRightInd w:val="0"/>
      <w:snapToGrid w:val="0"/>
      <w:spacing w:line="320" w:lineRule="exact"/>
      <w:ind w:firstLine="200" w:firstLineChars="200"/>
      <w:jc w:val="center"/>
    </w:pPr>
    <w:rPr>
      <w:color w:val="000000"/>
      <w:kern w:val="32"/>
      <w:sz w:val="24"/>
      <w:szCs w:val="20"/>
    </w:rPr>
  </w:style>
  <w:style w:type="character" w:customStyle="1" w:styleId="63">
    <w:name w:val="李表头常用格式 字符"/>
    <w:link w:val="64"/>
    <w:qFormat/>
    <w:uiPriority w:val="0"/>
    <w:rPr>
      <w:rFonts w:ascii="黑体" w:hAnsi="宋体" w:eastAsia="黑体" w:cs="黑体"/>
      <w:color w:val="000000"/>
      <w:kern w:val="2"/>
      <w:sz w:val="21"/>
      <w:szCs w:val="21"/>
    </w:rPr>
  </w:style>
  <w:style w:type="paragraph" w:customStyle="1" w:styleId="64">
    <w:name w:val="李表头常用格式"/>
    <w:basedOn w:val="10"/>
    <w:link w:val="63"/>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65">
    <w:name w:val="表中"/>
    <w:basedOn w:val="1"/>
    <w:qFormat/>
    <w:uiPriority w:val="0"/>
    <w:pPr>
      <w:spacing w:line="360" w:lineRule="exact"/>
      <w:jc w:val="center"/>
    </w:pPr>
    <w:rPr>
      <w:rFonts w:ascii="Calibri" w:hAnsi="Calibri"/>
      <w:szCs w:val="21"/>
    </w:rPr>
  </w:style>
  <w:style w:type="character" w:customStyle="1" w:styleId="66">
    <w:name w:val="图表标题 Char"/>
    <w:link w:val="67"/>
    <w:qFormat/>
    <w:uiPriority w:val="0"/>
    <w:rPr>
      <w:kern w:val="2"/>
      <w:sz w:val="24"/>
      <w:szCs w:val="24"/>
    </w:rPr>
  </w:style>
  <w:style w:type="paragraph" w:customStyle="1" w:styleId="67">
    <w:name w:val="图表标题"/>
    <w:link w:val="66"/>
    <w:qFormat/>
    <w:uiPriority w:val="0"/>
    <w:pPr>
      <w:snapToGrid w:val="0"/>
      <w:spacing w:line="360" w:lineRule="exact"/>
      <w:jc w:val="center"/>
    </w:pPr>
    <w:rPr>
      <w:rFonts w:ascii="Times New Roman" w:hAnsi="Times New Roman" w:eastAsia="宋体" w:cs="Times New Roman"/>
      <w:kern w:val="2"/>
      <w:sz w:val="24"/>
      <w:szCs w:val="24"/>
      <w:lang w:val="en-US" w:eastAsia="zh-CN" w:bidi="ar-SA"/>
    </w:rPr>
  </w:style>
  <w:style w:type="character" w:customStyle="1" w:styleId="68">
    <w:name w:val="5号表格 Char"/>
    <w:link w:val="69"/>
    <w:qFormat/>
    <w:uiPriority w:val="0"/>
    <w:rPr>
      <w:bCs/>
      <w:kern w:val="2"/>
      <w:sz w:val="21"/>
      <w:szCs w:val="21"/>
    </w:rPr>
  </w:style>
  <w:style w:type="paragraph" w:customStyle="1" w:styleId="69">
    <w:name w:val="5号表格"/>
    <w:link w:val="68"/>
    <w:qFormat/>
    <w:uiPriority w:val="0"/>
    <w:pPr>
      <w:snapToGrid w:val="0"/>
      <w:jc w:val="center"/>
    </w:pPr>
    <w:rPr>
      <w:rFonts w:ascii="Times New Roman" w:hAnsi="Times New Roman" w:eastAsia="宋体" w:cs="Times New Roman"/>
      <w:bCs/>
      <w:kern w:val="2"/>
      <w:sz w:val="21"/>
      <w:szCs w:val="21"/>
      <w:lang w:val="en-US" w:eastAsia="zh-CN" w:bidi="ar-SA"/>
    </w:rPr>
  </w:style>
  <w:style w:type="character" w:customStyle="1" w:styleId="70">
    <w:name w:val="纯文本 字符"/>
    <w:basedOn w:val="21"/>
    <w:link w:val="11"/>
    <w:qFormat/>
    <w:uiPriority w:val="0"/>
    <w:rPr>
      <w:rFonts w:ascii="宋体" w:hAnsi="Courier New" w:cs="Courier New"/>
      <w:kern w:val="2"/>
      <w:sz w:val="21"/>
      <w:szCs w:val="21"/>
    </w:rPr>
  </w:style>
  <w:style w:type="paragraph" w:customStyle="1" w:styleId="71">
    <w:name w:val="样式 标题 4 + 段前: 5 磅 段后: 3 磅 行距: 固定值 26 磅"/>
    <w:basedOn w:val="5"/>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character" w:customStyle="1" w:styleId="72">
    <w:name w:val="标题 3 字符"/>
    <w:basedOn w:val="21"/>
    <w:link w:val="4"/>
    <w:semiHidden/>
    <w:qFormat/>
    <w:uiPriority w:val="0"/>
    <w:rPr>
      <w:b/>
      <w:bCs/>
      <w:kern w:val="2"/>
      <w:sz w:val="32"/>
      <w:szCs w:val="32"/>
    </w:rPr>
  </w:style>
  <w:style w:type="character" w:customStyle="1" w:styleId="73">
    <w:name w:val="正文文本首行缩进 2 字符"/>
    <w:basedOn w:val="39"/>
    <w:link w:val="18"/>
    <w:qFormat/>
    <w:uiPriority w:val="0"/>
    <w:rPr>
      <w:rFonts w:ascii="Times New Roman" w:hAnsi="Times New Roman" w:eastAsia="宋体"/>
      <w:kern w:val="2"/>
      <w:sz w:val="21"/>
      <w:szCs w:val="24"/>
    </w:rPr>
  </w:style>
  <w:style w:type="paragraph" w:styleId="74">
    <w:name w:val="List Paragraph"/>
    <w:basedOn w:val="1"/>
    <w:qFormat/>
    <w:uiPriority w:val="34"/>
    <w:pPr>
      <w:ind w:firstLine="420" w:firstLineChars="200"/>
    </w:pPr>
    <w:rPr>
      <w:rFonts w:ascii="Calibri" w:hAnsi="Calibri"/>
      <w:szCs w:val="20"/>
    </w:rPr>
  </w:style>
  <w:style w:type="character" w:customStyle="1" w:styleId="75">
    <w:name w:val="Unresolved Mention"/>
    <w:basedOn w:val="21"/>
    <w:semiHidden/>
    <w:unhideWhenUsed/>
    <w:qFormat/>
    <w:uiPriority w:val="99"/>
    <w:rPr>
      <w:color w:val="605E5C"/>
      <w:shd w:val="clear" w:color="auto" w:fill="E1DFDD"/>
    </w:rPr>
  </w:style>
  <w:style w:type="paragraph" w:customStyle="1" w:styleId="76">
    <w:name w:val="【表中文字】"/>
    <w:basedOn w:val="1"/>
    <w:qFormat/>
    <w:uiPriority w:val="0"/>
    <w:pPr>
      <w:widowControl/>
      <w:jc w:val="center"/>
    </w:pPr>
    <w:rPr>
      <w:rFonts w:asciiTheme="minorHAnsi" w:hAnsiTheme="minorHAnsi" w:eastAsiaTheme="minorEastAsia" w:cstheme="minorBidi"/>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Administrator/AppData/Roaming/Tencent/Users/1049960459/TIM/WinTemp/RichOle/%2525252525252525252525252525252525252525255b2OM$Q~9VA%252525252525252525252525252525252525252525603U0OK~8X)9(6.png" TargetMode="External"/><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http://www.biaozhi.net/enews/UploadFiles/smallImg/783.gif" TargetMode="External"/><Relationship Id="rId37" Type="http://schemas.openxmlformats.org/officeDocument/2006/relationships/image" Target="media/image23.png"/><Relationship Id="rId36" Type="http://schemas.openxmlformats.org/officeDocument/2006/relationships/image" Target="http://www.biaozhi.net/enews/UploadFiles/smallImg/785.gif" TargetMode="External"/><Relationship Id="rId35" Type="http://schemas.openxmlformats.org/officeDocument/2006/relationships/image" Target="media/image22.png"/><Relationship Id="rId34" Type="http://schemas.openxmlformats.org/officeDocument/2006/relationships/image" Target="http://www.biaozhi.net/enews/UploadFiles/smallImg/781.gif" TargetMode="Externa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emf"/><Relationship Id="rId28" Type="http://schemas.openxmlformats.org/officeDocument/2006/relationships/oleObject" Target="embeddings/oleObject4.bin"/><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B0F0"/>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F802E-EF88-48BF-9D8B-CE86E279C96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154</Pages>
  <Words>63589</Words>
  <Characters>72801</Characters>
  <Lines>531</Lines>
  <Paragraphs>149</Paragraphs>
  <TotalTime>0</TotalTime>
  <ScaleCrop>false</ScaleCrop>
  <LinksUpToDate>false</LinksUpToDate>
  <CharactersWithSpaces>73308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2021-07-05T01:08:00Z</dcterms:created>
  <dc:creator>lhj</dc:creator>
  <cp:lastModifiedBy>Administrator</cp:lastModifiedBy>
  <cp:lastPrinted>2022-05-24T00:47:00Z</cp:lastPrinted>
  <dcterms:modified xsi:type="dcterms:W3CDTF">2022-05-24T05:52:23Z</dcterms:modified>
  <dc:title>附件2</dc:title>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7DE77BE2A315460A813D938A27323530</vt:lpwstr>
  </property>
</Properties>
</file>