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五台县交通运输局</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2023年政府信息公开工作年度报告</w:t>
      </w:r>
    </w:p>
    <w:p>
      <w:pPr>
        <w:rPr>
          <w:rFonts w:hint="eastAsia" w:ascii="仿宋" w:hAnsi="仿宋" w:eastAsia="仿宋" w:cs="仿宋"/>
          <w:sz w:val="32"/>
          <w:szCs w:val="32"/>
        </w:rPr>
      </w:pPr>
    </w:p>
    <w:p>
      <w:pPr>
        <w:numPr>
          <w:ilvl w:val="0"/>
          <w:numId w:val="1"/>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总体情况</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根据《中华人民共和国政府信息公开条例》和《五台县人民政府办公室关于报送2023年政府信息公开工作年报的通知》，五台县交通运输局学习贯彻习近平新时代中国特色社会主义思想和党的十九届五中全会精神，将政府信息公开工作贯穿始终，扎实推进“数字政府”改革建设。</w:t>
      </w:r>
    </w:p>
    <w:p>
      <w:pPr>
        <w:numPr>
          <w:ilvl w:val="0"/>
          <w:numId w:val="2"/>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实施政务公开的目标和原则</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五台县交通运输局坚持以人民为中心的发展思想，积极推进政务公开工作，旨在通过向社会公开交通运输管理信息，加强运输管理的透明度和规范性，以提高便长、利比水平，保障交通安全，促进公众对交通管理工作的监督和参与。在实施政务公开工作中，五台县交通运输局始终坚持公开、公正、公平、公认的原则，做到信息公开的准确、及时、全面和透明，为公众提供便捷的服务和咨询。</w:t>
      </w:r>
    </w:p>
    <w:p>
      <w:pPr>
        <w:numPr>
          <w:ilvl w:val="0"/>
          <w:numId w:val="2"/>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加强信息公开</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五台县交通运输局将信息公开作为推进政务公开的基础工作，加强信息公开平台的建设，完善信息发布渠道和方式，提高信息公开的效率和可靠性。五台县交通运输局将交通运输管理规章制度、行政许可、安全生产监管等相关信息公开，提供便民查询、办事服务和意见反馈等渠道，方便公众获取需要的信息并提出建议。</w:t>
      </w:r>
    </w:p>
    <w:p>
      <w:pPr>
        <w:numPr>
          <w:ilvl w:val="0"/>
          <w:numId w:val="2"/>
        </w:numPr>
        <w:ind w:left="0"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宣传交通安全知识</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交通安全是交通运输工作的基石，五台县交通运输局通过政务公开工作，将交通安全知识传达给社会公众，提高公众的交通安全意识，减少交通事故的发生。五台县交通运输局注重开展交通安全宣传活动，通过官方网站、微博、微信公众号等渠道发布安全提示和教育内容，提醒公众注意交通规则和安全驾驶，减少交通违法行为。</w:t>
      </w:r>
    </w:p>
    <w:p>
      <w:pPr>
        <w:numPr>
          <w:ilvl w:val="0"/>
          <w:numId w:val="0"/>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二、主动公开政府信息情况</w:t>
      </w:r>
    </w:p>
    <w:tbl>
      <w:tblPr>
        <w:tblStyle w:val="2"/>
        <w:tblW w:w="0" w:type="auto"/>
        <w:jc w:val="center"/>
        <w:tblLayout w:type="fixed"/>
        <w:tblCellMar>
          <w:top w:w="0" w:type="dxa"/>
          <w:left w:w="108" w:type="dxa"/>
          <w:bottom w:w="0" w:type="dxa"/>
          <w:right w:w="108" w:type="dxa"/>
        </w:tblCellMar>
      </w:tblPr>
      <w:tblGrid>
        <w:gridCol w:w="3113"/>
        <w:gridCol w:w="1875"/>
        <w:gridCol w:w="6"/>
        <w:gridCol w:w="1265"/>
        <w:gridCol w:w="1881"/>
      </w:tblGrid>
      <w:tr>
        <w:tblPrEx>
          <w:tblCellMar>
            <w:top w:w="0" w:type="dxa"/>
            <w:left w:w="108" w:type="dxa"/>
            <w:bottom w:w="0" w:type="dxa"/>
            <w:right w:w="108" w:type="dxa"/>
          </w:tblCellMar>
        </w:tblPrEx>
        <w:trPr>
          <w:trHeight w:val="495"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ascii="宋体" w:hAnsi="宋体" w:cs="宋体"/>
                <w:color w:val="000000"/>
                <w:kern w:val="0"/>
                <w:sz w:val="20"/>
                <w:szCs w:val="20"/>
              </w:rPr>
              <w:t>第二十条第（一）项</w:t>
            </w:r>
          </w:p>
        </w:tc>
      </w:tr>
      <w:tr>
        <w:tblPrEx>
          <w:tblCellMar>
            <w:top w:w="0" w:type="dxa"/>
            <w:left w:w="108" w:type="dxa"/>
            <w:bottom w:w="0" w:type="dxa"/>
            <w:right w:w="108" w:type="dxa"/>
          </w:tblCellMar>
        </w:tblPrEx>
        <w:trPr>
          <w:trHeight w:val="882"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本年新</w:t>
            </w:r>
            <w:r>
              <w:rPr>
                <w:rFonts w:ascii="宋体" w:hAnsi="宋体" w:cs="宋体"/>
                <w:color w:val="333333"/>
                <w:kern w:val="0"/>
                <w:sz w:val="20"/>
                <w:szCs w:val="20"/>
              </w:rPr>
              <w:t>制作数量</w:t>
            </w:r>
          </w:p>
        </w:tc>
        <w:tc>
          <w:tcPr>
            <w:tcW w:w="1271"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本年新</w:t>
            </w:r>
            <w:r>
              <w:rPr>
                <w:rFonts w:ascii="宋体" w:hAnsi="宋体" w:cs="宋体"/>
                <w:color w:val="333333"/>
                <w:kern w:val="0"/>
                <w:sz w:val="20"/>
                <w:szCs w:val="20"/>
              </w:rPr>
              <w:t>公开数量</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对外公开总数量</w:t>
            </w:r>
          </w:p>
        </w:tc>
      </w:tr>
      <w:tr>
        <w:tblPrEx>
          <w:tblCellMar>
            <w:top w:w="0" w:type="dxa"/>
            <w:left w:w="108" w:type="dxa"/>
            <w:bottom w:w="0" w:type="dxa"/>
            <w:right w:w="108" w:type="dxa"/>
          </w:tblCellMar>
        </w:tblPrEx>
        <w:trPr>
          <w:trHeight w:val="523"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规章</w:t>
            </w:r>
          </w:p>
        </w:tc>
        <w:tc>
          <w:tcPr>
            <w:tcW w:w="187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271"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r>
      <w:tr>
        <w:tblPrEx>
          <w:tblCellMar>
            <w:top w:w="0" w:type="dxa"/>
            <w:left w:w="108" w:type="dxa"/>
            <w:bottom w:w="0" w:type="dxa"/>
            <w:right w:w="108" w:type="dxa"/>
          </w:tblCellMar>
        </w:tblPrEx>
        <w:trPr>
          <w:trHeight w:val="471"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271" w:type="dxa"/>
            <w:gridSpan w:val="2"/>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r>
      <w:tr>
        <w:tblPrEx>
          <w:tblCellMar>
            <w:top w:w="0" w:type="dxa"/>
            <w:left w:w="108" w:type="dxa"/>
            <w:bottom w:w="0" w:type="dxa"/>
            <w:right w:w="108" w:type="dxa"/>
          </w:tblCellMar>
        </w:tblPrEx>
        <w:trPr>
          <w:trHeight w:val="480"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ascii="宋体" w:hAnsi="宋体" w:cs="宋体"/>
                <w:color w:val="000000"/>
                <w:kern w:val="0"/>
                <w:sz w:val="20"/>
                <w:szCs w:val="20"/>
              </w:rPr>
              <w:t>第二十条第（五）项</w:t>
            </w:r>
          </w:p>
        </w:tc>
      </w:tr>
      <w:tr>
        <w:tblPrEx>
          <w:tblCellMar>
            <w:top w:w="0" w:type="dxa"/>
            <w:left w:w="108" w:type="dxa"/>
            <w:bottom w:w="0" w:type="dxa"/>
            <w:right w:w="108" w:type="dxa"/>
          </w:tblCellMar>
        </w:tblPrEx>
        <w:trPr>
          <w:trHeight w:val="634"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处理决定数量</w:t>
            </w:r>
          </w:p>
        </w:tc>
      </w:tr>
      <w:tr>
        <w:tblPrEx>
          <w:tblCellMar>
            <w:top w:w="0" w:type="dxa"/>
            <w:left w:w="108" w:type="dxa"/>
            <w:bottom w:w="0" w:type="dxa"/>
            <w:right w:w="108" w:type="dxa"/>
          </w:tblCellMar>
        </w:tblPrEx>
        <w:trPr>
          <w:trHeight w:val="528"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1000" w:firstLineChars="500"/>
              <w:jc w:val="both"/>
              <w:rPr>
                <w:rFonts w:ascii="宋体" w:hAnsi="宋体" w:cs="宋体"/>
                <w:color w:val="333333"/>
                <w:kern w:val="0"/>
                <w:sz w:val="24"/>
              </w:rPr>
            </w:pPr>
            <w:bookmarkStart w:id="0" w:name="_GoBack"/>
            <w:bookmarkEnd w:id="0"/>
            <w:r>
              <w:rPr>
                <w:rFonts w:hint="eastAsia" w:ascii="宋体" w:hAnsi="宋体" w:cs="宋体"/>
                <w:color w:val="000000"/>
                <w:kern w:val="0"/>
                <w:sz w:val="20"/>
                <w:szCs w:val="20"/>
              </w:rPr>
              <w:t>行政许可</w:t>
            </w:r>
          </w:p>
        </w:tc>
        <w:tc>
          <w:tcPr>
            <w:tcW w:w="1881" w:type="dxa"/>
            <w:gridSpan w:val="2"/>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265"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r>
      <w:tr>
        <w:tblPrEx>
          <w:tblCellMar>
            <w:top w:w="0" w:type="dxa"/>
            <w:left w:w="108" w:type="dxa"/>
            <w:bottom w:w="0" w:type="dxa"/>
            <w:right w:w="108" w:type="dxa"/>
          </w:tblCellMar>
        </w:tblPrEx>
        <w:trPr>
          <w:trHeight w:val="550"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265" w:type="dxa"/>
            <w:tcBorders>
              <w:top w:val="nil"/>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both"/>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r>
      <w:tr>
        <w:tblPrEx>
          <w:tblCellMar>
            <w:top w:w="0" w:type="dxa"/>
            <w:left w:w="108" w:type="dxa"/>
            <w:bottom w:w="0" w:type="dxa"/>
            <w:right w:w="108" w:type="dxa"/>
          </w:tblCellMar>
        </w:tblPrEx>
        <w:trPr>
          <w:trHeight w:val="406"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ascii="宋体" w:hAnsi="宋体" w:cs="宋体"/>
                <w:color w:val="000000"/>
                <w:kern w:val="0"/>
                <w:sz w:val="20"/>
                <w:szCs w:val="20"/>
              </w:rPr>
              <w:t>第二十条第（六）项</w:t>
            </w:r>
          </w:p>
        </w:tc>
      </w:tr>
      <w:tr>
        <w:tblPrEx>
          <w:tblCellMar>
            <w:top w:w="0" w:type="dxa"/>
            <w:left w:w="108" w:type="dxa"/>
            <w:bottom w:w="0" w:type="dxa"/>
            <w:right w:w="108" w:type="dxa"/>
          </w:tblCellMar>
        </w:tblPrEx>
        <w:trPr>
          <w:trHeight w:val="634"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处理决定数量</w:t>
            </w:r>
          </w:p>
        </w:tc>
      </w:tr>
      <w:tr>
        <w:tblPrEx>
          <w:tblCellMar>
            <w:top w:w="0" w:type="dxa"/>
            <w:left w:w="108" w:type="dxa"/>
            <w:bottom w:w="0" w:type="dxa"/>
            <w:right w:w="108" w:type="dxa"/>
          </w:tblCellMar>
        </w:tblPrEx>
        <w:trPr>
          <w:trHeight w:val="430"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行政处罚</w:t>
            </w:r>
          </w:p>
        </w:tc>
        <w:tc>
          <w:tcPr>
            <w:tcW w:w="1881"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26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FF0000"/>
                <w:kern w:val="0"/>
                <w:sz w:val="24"/>
                <w:lang w:val="en-US" w:eastAsia="zh-CN"/>
              </w:rPr>
            </w:pPr>
            <w:r>
              <w:rPr>
                <w:rFonts w:hint="eastAsia" w:ascii="宋体" w:hAnsi="宋体" w:cs="宋体"/>
                <w:color w:val="000000"/>
                <w:kern w:val="0"/>
                <w:sz w:val="24"/>
                <w:lang w:val="en-US" w:eastAsia="zh-CN"/>
              </w:rPr>
              <w:t>0</w:t>
            </w:r>
          </w:p>
        </w:tc>
      </w:tr>
      <w:tr>
        <w:tblPrEx>
          <w:tblCellMar>
            <w:top w:w="0" w:type="dxa"/>
            <w:left w:w="108" w:type="dxa"/>
            <w:bottom w:w="0" w:type="dxa"/>
            <w:right w:w="108" w:type="dxa"/>
          </w:tblCellMar>
        </w:tblPrEx>
        <w:trPr>
          <w:trHeight w:val="409"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265"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r>
      <w:tr>
        <w:tblPrEx>
          <w:tblCellMar>
            <w:top w:w="0" w:type="dxa"/>
            <w:left w:w="108" w:type="dxa"/>
            <w:bottom w:w="0" w:type="dxa"/>
            <w:right w:w="108" w:type="dxa"/>
          </w:tblCellMar>
        </w:tblPrEx>
        <w:trPr>
          <w:trHeight w:val="474"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ascii="宋体" w:hAnsi="宋体" w:cs="宋体"/>
                <w:color w:val="000000"/>
                <w:kern w:val="0"/>
                <w:sz w:val="20"/>
                <w:szCs w:val="20"/>
              </w:rPr>
              <w:t>第二十条第（八）项</w:t>
            </w:r>
          </w:p>
        </w:tc>
      </w:tr>
      <w:tr>
        <w:tblPrEx>
          <w:tblCellMar>
            <w:top w:w="0" w:type="dxa"/>
            <w:left w:w="108" w:type="dxa"/>
            <w:bottom w:w="0" w:type="dxa"/>
            <w:right w:w="108" w:type="dxa"/>
          </w:tblCellMar>
        </w:tblPrEx>
        <w:trPr>
          <w:trHeight w:val="270"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本年增/减</w:t>
            </w:r>
          </w:p>
        </w:tc>
      </w:tr>
      <w:tr>
        <w:tblPrEx>
          <w:tblCellMar>
            <w:top w:w="0" w:type="dxa"/>
            <w:left w:w="108" w:type="dxa"/>
            <w:bottom w:w="0" w:type="dxa"/>
            <w:right w:w="108" w:type="dxa"/>
          </w:tblCellMar>
        </w:tblPrEx>
        <w:trPr>
          <w:trHeight w:val="551"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3146"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r>
    </w:tbl>
    <w:p>
      <w:pPr>
        <w:widowControl/>
        <w:adjustRightInd w:val="0"/>
        <w:snapToGrid w:val="0"/>
        <w:spacing w:line="360" w:lineRule="auto"/>
        <w:rPr>
          <w:rFonts w:hint="eastAsia" w:ascii="黑体" w:hAnsi="黑体" w:eastAsia="黑体" w:cs="宋体"/>
          <w:bCs/>
          <w:color w:val="333333"/>
          <w:kern w:val="0"/>
          <w:sz w:val="32"/>
          <w:szCs w:val="32"/>
        </w:rPr>
      </w:pPr>
    </w:p>
    <w:p>
      <w:pPr>
        <w:numPr>
          <w:ilvl w:val="0"/>
          <w:numId w:val="0"/>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三、收到和处理政府信息公开申请情况</w:t>
      </w:r>
    </w:p>
    <w:tbl>
      <w:tblPr>
        <w:tblStyle w:val="2"/>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920"/>
        <w:gridCol w:w="2033"/>
        <w:gridCol w:w="598"/>
        <w:gridCol w:w="659"/>
        <w:gridCol w:w="659"/>
        <w:gridCol w:w="713"/>
        <w:gridCol w:w="865"/>
        <w:gridCol w:w="627"/>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4" w:type="dxa"/>
            <w:gridSpan w:val="3"/>
            <w:vMerge w:val="restart"/>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color w:val="333333"/>
                <w:sz w:val="20"/>
                <w:szCs w:val="20"/>
              </w:rPr>
              <w:t>（本列数据的勾稽关系为：第一项加第二项之和，等于第三项加第四项之和）</w:t>
            </w:r>
          </w:p>
        </w:tc>
        <w:tc>
          <w:tcPr>
            <w:tcW w:w="4730" w:type="dxa"/>
            <w:gridSpan w:val="7"/>
            <w:noWrap w:val="0"/>
            <w:tcMar>
              <w:top w:w="0" w:type="dxa"/>
              <w:left w:w="0" w:type="dxa"/>
              <w:bottom w:w="0" w:type="dxa"/>
              <w:right w:w="0" w:type="dxa"/>
            </w:tcMar>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4" w:type="dxa"/>
            <w:gridSpan w:val="3"/>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598" w:type="dxa"/>
            <w:vMerge w:val="restart"/>
            <w:noWrap w:val="0"/>
            <w:tcMar>
              <w:top w:w="0" w:type="dxa"/>
              <w:left w:w="0" w:type="dxa"/>
              <w:bottom w:w="0" w:type="dxa"/>
              <w:right w:w="0" w:type="dxa"/>
            </w:tcMar>
            <w:vAlign w:val="center"/>
          </w:tcPr>
          <w:p>
            <w:pPr>
              <w:widowControl/>
              <w:adjustRightInd w:val="0"/>
              <w:snapToGrid w:val="0"/>
              <w:spacing w:line="360" w:lineRule="auto"/>
              <w:jc w:val="center"/>
              <w:rPr>
                <w:rFonts w:hint="eastAsia"/>
                <w:color w:val="333333"/>
                <w:sz w:val="20"/>
                <w:szCs w:val="20"/>
              </w:rPr>
            </w:pPr>
            <w:r>
              <w:rPr>
                <w:rFonts w:hint="eastAsia"/>
                <w:color w:val="333333"/>
                <w:sz w:val="20"/>
                <w:szCs w:val="20"/>
              </w:rPr>
              <w:t>自然</w:t>
            </w:r>
          </w:p>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人</w:t>
            </w:r>
          </w:p>
        </w:tc>
        <w:tc>
          <w:tcPr>
            <w:tcW w:w="3523" w:type="dxa"/>
            <w:gridSpan w:val="5"/>
            <w:noWrap w:val="0"/>
            <w:tcMar>
              <w:top w:w="0" w:type="dxa"/>
              <w:left w:w="0" w:type="dxa"/>
              <w:bottom w:w="0" w:type="dxa"/>
              <w:right w:w="0" w:type="dxa"/>
            </w:tcMar>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color w:val="333333"/>
                <w:sz w:val="20"/>
                <w:szCs w:val="20"/>
              </w:rPr>
              <w:t>法人或其他组织</w:t>
            </w:r>
          </w:p>
        </w:tc>
        <w:tc>
          <w:tcPr>
            <w:tcW w:w="609" w:type="dxa"/>
            <w:vMerge w:val="restart"/>
            <w:noWrap w:val="0"/>
            <w:tcMar>
              <w:top w:w="0" w:type="dxa"/>
              <w:left w:w="0" w:type="dxa"/>
              <w:bottom w:w="0" w:type="dxa"/>
              <w:right w:w="0" w:type="dxa"/>
            </w:tcMar>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4" w:type="dxa"/>
            <w:gridSpan w:val="3"/>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598"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659" w:type="dxa"/>
            <w:noWrap w:val="0"/>
            <w:tcMar>
              <w:top w:w="0" w:type="dxa"/>
              <w:left w:w="0" w:type="dxa"/>
              <w:bottom w:w="0" w:type="dxa"/>
              <w:right w:w="0" w:type="dxa"/>
            </w:tcMar>
            <w:vAlign w:val="center"/>
          </w:tcPr>
          <w:p>
            <w:pPr>
              <w:widowControl/>
              <w:adjustRightInd w:val="0"/>
              <w:snapToGrid w:val="0"/>
              <w:spacing w:line="360" w:lineRule="auto"/>
              <w:jc w:val="center"/>
              <w:rPr>
                <w:rFonts w:hint="eastAsia"/>
                <w:color w:val="333333"/>
                <w:sz w:val="20"/>
                <w:szCs w:val="20"/>
              </w:rPr>
            </w:pPr>
            <w:r>
              <w:rPr>
                <w:rFonts w:hint="eastAsia"/>
                <w:color w:val="333333"/>
                <w:sz w:val="20"/>
                <w:szCs w:val="20"/>
              </w:rPr>
              <w:t>商业</w:t>
            </w:r>
          </w:p>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企业</w:t>
            </w:r>
          </w:p>
        </w:tc>
        <w:tc>
          <w:tcPr>
            <w:tcW w:w="659" w:type="dxa"/>
            <w:noWrap w:val="0"/>
            <w:tcMar>
              <w:top w:w="0" w:type="dxa"/>
              <w:left w:w="0" w:type="dxa"/>
              <w:bottom w:w="0" w:type="dxa"/>
              <w:right w:w="0" w:type="dxa"/>
            </w:tcMar>
            <w:vAlign w:val="center"/>
          </w:tcPr>
          <w:p>
            <w:pPr>
              <w:widowControl/>
              <w:adjustRightInd w:val="0"/>
              <w:snapToGrid w:val="0"/>
              <w:spacing w:line="360" w:lineRule="auto"/>
              <w:jc w:val="center"/>
              <w:rPr>
                <w:rFonts w:hint="eastAsia"/>
                <w:color w:val="333333"/>
                <w:sz w:val="20"/>
                <w:szCs w:val="20"/>
              </w:rPr>
            </w:pPr>
            <w:r>
              <w:rPr>
                <w:rFonts w:hint="eastAsia"/>
                <w:color w:val="333333"/>
                <w:sz w:val="20"/>
                <w:szCs w:val="20"/>
              </w:rPr>
              <w:t>科研</w:t>
            </w:r>
          </w:p>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机构</w:t>
            </w:r>
          </w:p>
        </w:tc>
        <w:tc>
          <w:tcPr>
            <w:tcW w:w="713" w:type="dxa"/>
            <w:noWrap w:val="0"/>
            <w:tcMar>
              <w:top w:w="0" w:type="dxa"/>
              <w:left w:w="0" w:type="dxa"/>
              <w:bottom w:w="0" w:type="dxa"/>
              <w:right w:w="0" w:type="dxa"/>
            </w:tcMar>
            <w:vAlign w:val="center"/>
          </w:tcPr>
          <w:p>
            <w:pPr>
              <w:widowControl/>
              <w:adjustRightInd w:val="0"/>
              <w:snapToGrid w:val="0"/>
              <w:spacing w:line="360" w:lineRule="auto"/>
              <w:jc w:val="center"/>
              <w:rPr>
                <w:rFonts w:hint="eastAsia"/>
                <w:color w:val="333333"/>
                <w:sz w:val="20"/>
                <w:szCs w:val="20"/>
              </w:rPr>
            </w:pPr>
            <w:r>
              <w:rPr>
                <w:rFonts w:hint="eastAsia"/>
                <w:color w:val="333333"/>
                <w:sz w:val="20"/>
                <w:szCs w:val="20"/>
              </w:rPr>
              <w:t>社会公</w:t>
            </w:r>
          </w:p>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益组织</w:t>
            </w:r>
          </w:p>
        </w:tc>
        <w:tc>
          <w:tcPr>
            <w:tcW w:w="865" w:type="dxa"/>
            <w:noWrap w:val="0"/>
            <w:tcMar>
              <w:top w:w="0" w:type="dxa"/>
              <w:left w:w="0" w:type="dxa"/>
              <w:bottom w:w="0" w:type="dxa"/>
              <w:right w:w="0" w:type="dxa"/>
            </w:tcMar>
            <w:vAlign w:val="center"/>
          </w:tcPr>
          <w:p>
            <w:pPr>
              <w:widowControl/>
              <w:adjustRightInd w:val="0"/>
              <w:snapToGrid w:val="0"/>
              <w:spacing w:line="360" w:lineRule="auto"/>
              <w:jc w:val="center"/>
              <w:rPr>
                <w:rFonts w:hint="eastAsia"/>
                <w:color w:val="333333"/>
                <w:sz w:val="20"/>
                <w:szCs w:val="20"/>
              </w:rPr>
            </w:pPr>
            <w:r>
              <w:rPr>
                <w:rFonts w:hint="eastAsia"/>
                <w:color w:val="333333"/>
                <w:sz w:val="20"/>
                <w:szCs w:val="20"/>
              </w:rPr>
              <w:t>法律服</w:t>
            </w:r>
          </w:p>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务机构</w:t>
            </w:r>
          </w:p>
        </w:tc>
        <w:tc>
          <w:tcPr>
            <w:tcW w:w="627" w:type="dxa"/>
            <w:noWrap w:val="0"/>
            <w:tcMar>
              <w:top w:w="0" w:type="dxa"/>
              <w:left w:w="0" w:type="dxa"/>
              <w:bottom w:w="0" w:type="dxa"/>
              <w:right w:w="0" w:type="dxa"/>
            </w:tcMar>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其他</w:t>
            </w:r>
          </w:p>
        </w:tc>
        <w:tc>
          <w:tcPr>
            <w:tcW w:w="609"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4" w:type="dxa"/>
            <w:gridSpan w:val="3"/>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color w:val="333333"/>
                <w:sz w:val="20"/>
                <w:szCs w:val="20"/>
              </w:rPr>
              <w:t>一、本年新收政府信息公开申请数量</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lang w:val="en-US" w:eastAsia="zh-CN"/>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default" w:ascii="宋体" w:hAnsi="宋体" w:eastAsia="宋体" w:cs="宋体"/>
                <w:color w:val="333333"/>
                <w:kern w:val="0"/>
                <w:sz w:val="24"/>
                <w:lang w:val="en-US" w:eastAsia="zh-CN"/>
              </w:rPr>
            </w:pPr>
            <w:r>
              <w:rPr>
                <w:rFonts w:hint="eastAsia"/>
                <w:color w:val="333333"/>
                <w:sz w:val="20"/>
                <w:szCs w:val="20"/>
              </w:rPr>
              <w:t>0</w:t>
            </w:r>
            <w:r>
              <w:rPr>
                <w:color w:val="333333"/>
                <w:sz w:val="20"/>
                <w:szCs w:val="20"/>
              </w:rPr>
              <w:t> </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default" w:ascii="宋体" w:hAnsi="宋体" w:eastAsia="宋体" w:cs="宋体"/>
                <w:color w:val="333333"/>
                <w:kern w:val="0"/>
                <w:sz w:val="24"/>
                <w:lang w:val="en-US" w:eastAsia="zh-CN"/>
              </w:rPr>
            </w:pPr>
            <w:r>
              <w:rPr>
                <w:rFonts w:hint="eastAsia"/>
                <w:color w:val="333333"/>
                <w:sz w:val="20"/>
                <w:szCs w:val="20"/>
              </w:rPr>
              <w:t>0</w:t>
            </w:r>
            <w:r>
              <w:rPr>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4" w:type="dxa"/>
            <w:gridSpan w:val="3"/>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color w:val="333333"/>
                <w:sz w:val="20"/>
                <w:szCs w:val="20"/>
              </w:rPr>
              <w:t>二、上年结转政府信息公开申请数量</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restart"/>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color w:val="333333"/>
                <w:sz w:val="20"/>
                <w:szCs w:val="20"/>
              </w:rPr>
              <w:t>三、本年度办理结果</w:t>
            </w:r>
          </w:p>
        </w:tc>
        <w:tc>
          <w:tcPr>
            <w:tcW w:w="2953" w:type="dxa"/>
            <w:gridSpan w:val="2"/>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（一）予以公开</w:t>
            </w:r>
          </w:p>
        </w:tc>
        <w:tc>
          <w:tcPr>
            <w:tcW w:w="598" w:type="dxa"/>
            <w:noWrap w:val="0"/>
            <w:tcMar>
              <w:top w:w="0" w:type="dxa"/>
              <w:left w:w="0" w:type="dxa"/>
              <w:bottom w:w="0" w:type="dxa"/>
              <w:right w:w="0" w:type="dxa"/>
            </w:tcMar>
            <w:vAlign w:val="center"/>
          </w:tcPr>
          <w:p>
            <w:pPr>
              <w:widowControl/>
              <w:adjustRightInd w:val="0"/>
              <w:snapToGrid w:val="0"/>
              <w:spacing w:line="360" w:lineRule="auto"/>
              <w:jc w:val="both"/>
              <w:rPr>
                <w:rFonts w:hint="default" w:ascii="宋体" w:hAnsi="宋体" w:eastAsia="宋体" w:cs="宋体"/>
                <w:color w:val="333333"/>
                <w:kern w:val="0"/>
                <w:sz w:val="24"/>
                <w:lang w:val="en-US" w:eastAsia="zh-CN"/>
              </w:rPr>
            </w:pPr>
            <w:r>
              <w:rPr>
                <w:rFonts w:hint="eastAsia"/>
                <w:color w:val="333333"/>
                <w:sz w:val="20"/>
                <w:szCs w:val="20"/>
                <w:lang w:val="en-US" w:eastAsia="zh-CN"/>
              </w:rPr>
              <w:t xml:space="preserve">    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lang w:val="en-US" w:eastAsia="zh-CN"/>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ascii="宋体" w:hAnsi="宋体" w:eastAsia="宋体" w:cs="宋体"/>
                <w:color w:val="333333"/>
                <w:kern w:val="0"/>
                <w:sz w:val="24"/>
                <w:lang w:val="en-US" w:eastAsia="zh-CN"/>
              </w:rPr>
            </w:pPr>
            <w:r>
              <w:rPr>
                <w:color w:val="333333"/>
                <w:sz w:val="20"/>
                <w:szCs w:val="20"/>
              </w:rPr>
              <w:t> </w:t>
            </w:r>
            <w:r>
              <w:rPr>
                <w:rFonts w:hint="eastAsia"/>
                <w:color w:val="333333"/>
                <w:sz w:val="20"/>
                <w:szCs w:val="20"/>
                <w:lang w:val="en-US" w:eastAsia="zh-CN"/>
              </w:rPr>
              <w:t>0</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lang w:val="en-US" w:eastAsia="zh-CN"/>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ascii="宋体" w:hAnsi="宋体" w:eastAsia="宋体" w:cs="宋体"/>
                <w:color w:val="333333"/>
                <w:kern w:val="0"/>
                <w:sz w:val="24"/>
                <w:lang w:val="en-US" w:eastAsia="zh-CN"/>
              </w:rPr>
            </w:pPr>
            <w:r>
              <w:rPr>
                <w:rFonts w:hint="eastAsia"/>
                <w:color w:val="333333"/>
                <w:sz w:val="20"/>
                <w:szCs w:val="20"/>
                <w:lang w:val="en-US" w:eastAsia="zh-CN"/>
              </w:rPr>
              <w:t>0</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ascii="宋体" w:hAnsi="宋体" w:eastAsia="宋体" w:cs="宋体"/>
                <w:color w:val="333333"/>
                <w:kern w:val="0"/>
                <w:sz w:val="24"/>
                <w:lang w:val="en-US" w:eastAsia="zh-CN"/>
              </w:rPr>
            </w:pPr>
            <w:r>
              <w:rPr>
                <w:color w:val="333333"/>
                <w:sz w:val="20"/>
                <w:szCs w:val="20"/>
              </w:rPr>
              <w:t> </w:t>
            </w:r>
            <w:r>
              <w:rPr>
                <w:rFonts w:hint="eastAsia"/>
                <w:color w:val="333333"/>
                <w:sz w:val="20"/>
                <w:szCs w:val="20"/>
                <w:lang w:val="en-US" w:eastAsia="zh-CN"/>
              </w:rPr>
              <w:t>0</w:t>
            </w:r>
          </w:p>
        </w:tc>
        <w:tc>
          <w:tcPr>
            <w:tcW w:w="609" w:type="dxa"/>
            <w:noWrap w:val="0"/>
            <w:tcMar>
              <w:top w:w="0" w:type="dxa"/>
              <w:left w:w="0" w:type="dxa"/>
              <w:bottom w:w="0" w:type="dxa"/>
              <w:right w:w="0" w:type="dxa"/>
            </w:tcMar>
            <w:vAlign w:val="center"/>
          </w:tcPr>
          <w:p>
            <w:pPr>
              <w:widowControl/>
              <w:adjustRightInd w:val="0"/>
              <w:snapToGrid w:val="0"/>
              <w:spacing w:line="360" w:lineRule="auto"/>
              <w:jc w:val="both"/>
              <w:rPr>
                <w:rFonts w:hint="default" w:ascii="Calibri" w:hAnsi="Calibri" w:eastAsia="宋体" w:cs="宋体"/>
                <w:color w:val="333333"/>
                <w:kern w:val="0"/>
                <w:sz w:val="24"/>
                <w:lang w:val="en-US" w:eastAsia="zh-CN"/>
              </w:rPr>
            </w:pPr>
            <w:r>
              <w:rPr>
                <w:rFonts w:hint="eastAsia" w:ascii="宋体" w:hAnsi="宋体" w:cs="宋体"/>
                <w:color w:val="333333"/>
                <w:kern w:val="0"/>
                <w:sz w:val="24"/>
                <w:lang w:val="en-US" w:eastAsia="zh-CN"/>
              </w:rPr>
              <w:t xml:space="preserve">   </w:t>
            </w:r>
            <w:r>
              <w:rPr>
                <w:rFonts w:hint="default" w:ascii="Calibri" w:hAnsi="Calibri" w:cs="Calibri"/>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953" w:type="dxa"/>
            <w:gridSpan w:val="2"/>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（二）部分公开（区分处理的，只计这一情形，不计其他情形）</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restart"/>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（三）不予公开</w:t>
            </w: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1.属于国家秘密</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2.其他法律行政法规禁止公开</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3.危及“三安全一稳定”</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4.保护第三方合法权益</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5.属于三类内部事务信息</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6.属于四类过程性信息</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7.属于行政执法案卷</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8.属于行政查询事项</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restart"/>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（四）无法提供</w:t>
            </w: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1.本机关不掌握相关政府信息</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ascii="宋体" w:hAnsi="宋体" w:eastAsia="宋体" w:cs="宋体"/>
                <w:color w:val="333333"/>
                <w:kern w:val="0"/>
                <w:sz w:val="24"/>
                <w:lang w:eastAsia="zh-CN"/>
              </w:rPr>
            </w:pPr>
            <w:r>
              <w:rPr>
                <w:rFonts w:hint="eastAsia"/>
                <w:color w:val="333333"/>
                <w:sz w:val="20"/>
                <w:szCs w:val="20"/>
                <w:lang w:val="en-US" w:eastAsia="zh-CN"/>
              </w:rPr>
              <w:t>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default" w:ascii="宋体" w:hAnsi="宋体" w:eastAsia="宋体" w:cs="宋体"/>
                <w:color w:val="333333"/>
                <w:kern w:val="0"/>
                <w:sz w:val="24"/>
                <w:lang w:val="en-US" w:eastAsia="zh-CN"/>
              </w:rPr>
            </w:pPr>
            <w:r>
              <w:rPr>
                <w:rFonts w:hint="eastAsia"/>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2.没有现成信息需要另行制作</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3.补正后申请内容仍不明确</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color w:val="333333"/>
                <w:sz w:val="20"/>
                <w:szCs w:val="20"/>
              </w:rPr>
              <w:t> </w:t>
            </w:r>
            <w:r>
              <w:rPr>
                <w:rFonts w:hint="eastAsia"/>
                <w:color w:val="333333"/>
                <w:sz w:val="20"/>
                <w:szCs w:val="20"/>
              </w:rPr>
              <w:t>0</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restart"/>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（五）不予处理</w:t>
            </w: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1.信访举报投诉类申请</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color w:val="333333"/>
                <w:sz w:val="20"/>
                <w:szCs w:val="20"/>
              </w:rPr>
              <w:t> </w:t>
            </w:r>
            <w:r>
              <w:rPr>
                <w:rFonts w:hint="eastAsia"/>
                <w:color w:val="333333"/>
                <w:sz w:val="20"/>
                <w:szCs w:val="20"/>
              </w:rPr>
              <w:t>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2.重复申请</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color w:val="333333"/>
                <w:sz w:val="20"/>
                <w:szCs w:val="20"/>
              </w:rPr>
              <w:t> </w:t>
            </w:r>
            <w:r>
              <w:rPr>
                <w:rFonts w:hint="eastAsia"/>
                <w:color w:val="333333"/>
                <w:sz w:val="20"/>
                <w:szCs w:val="20"/>
              </w:rPr>
              <w:t>0</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3.要求提供公开出版物</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4.无正当理由大量反复申请</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5.要求行政机关确认或重新出具已获取信息</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color w:val="333333"/>
                <w:sz w:val="20"/>
                <w:szCs w:val="20"/>
              </w:rPr>
              <w:t> </w:t>
            </w:r>
            <w:r>
              <w:rPr>
                <w:rFonts w:hint="eastAsia"/>
                <w:color w:val="333333"/>
                <w:sz w:val="20"/>
                <w:szCs w:val="20"/>
              </w:rPr>
              <w:t>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color w:val="333333"/>
                <w:sz w:val="20"/>
                <w:szCs w:val="20"/>
              </w:rPr>
              <w:t> </w:t>
            </w:r>
            <w:r>
              <w:rPr>
                <w:rFonts w:hint="eastAsia"/>
                <w:color w:val="333333"/>
                <w:sz w:val="20"/>
                <w:szCs w:val="20"/>
              </w:rPr>
              <w:t>0</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restart"/>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（六）其他处理</w:t>
            </w: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hint="eastAsia" w:ascii="楷体" w:hAnsi="楷体" w:eastAsia="楷体" w:cs="宋体"/>
                <w:color w:val="333333"/>
                <w:sz w:val="20"/>
                <w:szCs w:val="20"/>
                <w:lang w:val="en-US" w:eastAsia="zh-CN"/>
              </w:rPr>
            </w:pPr>
            <w:r>
              <w:rPr>
                <w:rFonts w:hint="eastAsia" w:ascii="楷体" w:hAnsi="楷体" w:eastAsia="楷体" w:cs="宋体"/>
                <w:color w:val="333333"/>
                <w:sz w:val="20"/>
                <w:szCs w:val="20"/>
                <w:lang w:val="en-US" w:eastAsia="zh-CN"/>
              </w:rPr>
              <w:t>1.申请人无正当理由逾期不补正、行政机关不再处理其政府信息公开申请</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hint="eastAsia" w:ascii="楷体" w:hAnsi="楷体" w:eastAsia="楷体" w:cs="宋体"/>
                <w:color w:val="333333"/>
                <w:sz w:val="20"/>
                <w:szCs w:val="20"/>
                <w:lang w:val="en-US" w:eastAsia="zh-CN"/>
              </w:rPr>
            </w:pPr>
            <w:r>
              <w:rPr>
                <w:rFonts w:hint="eastAsia" w:ascii="楷体" w:hAnsi="楷体" w:eastAsia="楷体" w:cs="宋体"/>
                <w:color w:val="333333"/>
                <w:sz w:val="20"/>
                <w:szCs w:val="20"/>
                <w:lang w:val="en-US" w:eastAsia="zh-CN"/>
              </w:rPr>
              <w:t>2.申请人逾期未按收费通知要求缴纳费用、行政机关不再处理其政府信息公开申请</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hint="default" w:ascii="楷体" w:hAnsi="楷体" w:eastAsia="楷体" w:cs="宋体"/>
                <w:color w:val="333333"/>
                <w:sz w:val="20"/>
                <w:szCs w:val="20"/>
                <w:lang w:val="en-US" w:eastAsia="zh-CN"/>
              </w:rPr>
            </w:pPr>
            <w:r>
              <w:rPr>
                <w:rFonts w:hint="eastAsia" w:ascii="楷体" w:hAnsi="楷体" w:eastAsia="楷体" w:cs="宋体"/>
                <w:color w:val="333333"/>
                <w:sz w:val="20"/>
                <w:szCs w:val="20"/>
                <w:lang w:val="en-US" w:eastAsia="zh-CN"/>
              </w:rPr>
              <w:t>3.其他</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eastAsia="宋体"/>
                <w:color w:val="333333"/>
                <w:sz w:val="20"/>
                <w:szCs w:val="20"/>
                <w:lang w:val="en-US" w:eastAsia="zh-CN"/>
              </w:rPr>
            </w:pPr>
            <w:r>
              <w:rPr>
                <w:rFonts w:hint="eastAsia"/>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953" w:type="dxa"/>
            <w:gridSpan w:val="2"/>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ascii="楷体" w:hAnsi="楷体" w:eastAsia="楷体" w:cs="宋体"/>
                <w:color w:val="333333"/>
                <w:sz w:val="20"/>
                <w:szCs w:val="20"/>
              </w:rPr>
              <w:t>（七）总计</w:t>
            </w:r>
          </w:p>
        </w:tc>
        <w:tc>
          <w:tcPr>
            <w:tcW w:w="598" w:type="dxa"/>
            <w:noWrap w:val="0"/>
            <w:tcMar>
              <w:top w:w="0" w:type="dxa"/>
              <w:left w:w="0" w:type="dxa"/>
              <w:bottom w:w="0" w:type="dxa"/>
              <w:right w:w="0" w:type="dxa"/>
            </w:tcMar>
            <w:vAlign w:val="center"/>
          </w:tcPr>
          <w:p>
            <w:pPr>
              <w:widowControl/>
              <w:adjustRightInd w:val="0"/>
              <w:snapToGrid w:val="0"/>
              <w:spacing w:line="360" w:lineRule="auto"/>
              <w:jc w:val="both"/>
              <w:rPr>
                <w:rFonts w:hint="default" w:ascii="宋体" w:hAnsi="宋体" w:eastAsia="宋体" w:cs="宋体"/>
                <w:color w:val="333333"/>
                <w:kern w:val="0"/>
                <w:sz w:val="24"/>
                <w:lang w:val="en-US" w:eastAsia="zh-CN"/>
              </w:rPr>
            </w:pPr>
            <w:r>
              <w:rPr>
                <w:rFonts w:hint="eastAsia"/>
                <w:color w:val="333333"/>
                <w:sz w:val="20"/>
                <w:szCs w:val="20"/>
                <w:lang w:val="en-US" w:eastAsia="zh-CN"/>
              </w:rPr>
              <w:t xml:space="preserve">    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lang w:val="en-US" w:eastAsia="zh-CN"/>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lang w:val="en-US" w:eastAsia="zh-CN"/>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lang w:val="en-US" w:eastAsia="zh-CN"/>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lang w:val="en-US" w:eastAsia="zh-CN"/>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jc w:val="both"/>
              <w:rPr>
                <w:rFonts w:hint="default" w:ascii="宋体" w:hAnsi="宋体" w:eastAsia="宋体" w:cs="宋体"/>
                <w:color w:val="333333"/>
                <w:kern w:val="0"/>
                <w:sz w:val="24"/>
                <w:lang w:val="en-US" w:eastAsia="zh-CN"/>
              </w:rPr>
            </w:pPr>
            <w:r>
              <w:rPr>
                <w:rFonts w:hint="eastAsia"/>
                <w:color w:val="333333"/>
                <w:sz w:val="20"/>
                <w:szCs w:val="20"/>
                <w:lang w:val="en-US" w:eastAsia="zh-CN"/>
              </w:rPr>
              <w:t xml:space="preserve">    0</w:t>
            </w:r>
          </w:p>
        </w:tc>
        <w:tc>
          <w:tcPr>
            <w:tcW w:w="609" w:type="dxa"/>
            <w:noWrap w:val="0"/>
            <w:tcMar>
              <w:top w:w="0" w:type="dxa"/>
              <w:left w:w="0" w:type="dxa"/>
              <w:bottom w:w="0" w:type="dxa"/>
              <w:right w:w="0" w:type="dxa"/>
            </w:tcMar>
            <w:vAlign w:val="center"/>
          </w:tcPr>
          <w:p>
            <w:pPr>
              <w:widowControl/>
              <w:adjustRightInd w:val="0"/>
              <w:snapToGrid w:val="0"/>
              <w:spacing w:line="360" w:lineRule="auto"/>
              <w:jc w:val="both"/>
              <w:rPr>
                <w:rFonts w:hint="default" w:ascii="宋体" w:hAnsi="宋体" w:eastAsia="宋体" w:cs="宋体"/>
                <w:color w:val="333333"/>
                <w:kern w:val="0"/>
                <w:sz w:val="24"/>
                <w:lang w:val="en-US" w:eastAsia="zh-CN"/>
              </w:rPr>
            </w:pPr>
            <w:r>
              <w:rPr>
                <w:rFonts w:hint="eastAsia"/>
                <w:color w:val="333333"/>
                <w:sz w:val="20"/>
                <w:szCs w:val="20"/>
                <w:lang w:val="en-US" w:eastAsia="zh-CN"/>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4" w:type="dxa"/>
            <w:gridSpan w:val="3"/>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四、结转下年度继续办理</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Cs w:val="21"/>
              </w:rPr>
            </w:pPr>
            <w:r>
              <w:rPr>
                <w:rFonts w:hint="eastAsia"/>
                <w:color w:val="333333"/>
                <w:sz w:val="20"/>
                <w:szCs w:val="20"/>
                <w:lang w:val="en-US" w:eastAsia="zh-CN"/>
              </w:rPr>
              <w:t>0</w:t>
            </w:r>
          </w:p>
        </w:tc>
      </w:tr>
    </w:tbl>
    <w:p>
      <w:pPr>
        <w:numPr>
          <w:ilvl w:val="0"/>
          <w:numId w:val="0"/>
        </w:numPr>
        <w:ind w:firstLine="643" w:firstLineChars="200"/>
        <w:rPr>
          <w:rFonts w:hint="eastAsia" w:ascii="仿宋" w:hAnsi="仿宋" w:eastAsia="仿宋" w:cs="仿宋"/>
          <w:b/>
          <w:bCs/>
          <w:sz w:val="32"/>
          <w:szCs w:val="32"/>
        </w:rPr>
      </w:pPr>
    </w:p>
    <w:p>
      <w:pPr>
        <w:numPr>
          <w:ilvl w:val="0"/>
          <w:numId w:val="0"/>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四、行政复议、行政诉讼情况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529"/>
        <w:gridCol w:w="499"/>
        <w:gridCol w:w="738"/>
        <w:gridCol w:w="553"/>
        <w:gridCol w:w="453"/>
        <w:gridCol w:w="500"/>
        <w:gridCol w:w="500"/>
        <w:gridCol w:w="500"/>
        <w:gridCol w:w="506"/>
        <w:gridCol w:w="500"/>
        <w:gridCol w:w="500"/>
        <w:gridCol w:w="501"/>
        <w:gridCol w:w="501"/>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1" w:type="dxa"/>
            <w:gridSpan w:val="5"/>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color w:val="333333"/>
                <w:sz w:val="20"/>
                <w:szCs w:val="20"/>
              </w:rPr>
              <w:t>行政复议</w:t>
            </w:r>
          </w:p>
        </w:tc>
        <w:tc>
          <w:tcPr>
            <w:tcW w:w="5389" w:type="dxa"/>
            <w:gridSpan w:val="10"/>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结果维持</w:t>
            </w:r>
          </w:p>
        </w:tc>
        <w:tc>
          <w:tcPr>
            <w:tcW w:w="529" w:type="dxa"/>
            <w:vMerge w:val="restart"/>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结果纠正</w:t>
            </w:r>
          </w:p>
        </w:tc>
        <w:tc>
          <w:tcPr>
            <w:tcW w:w="499"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其他结果</w:t>
            </w:r>
          </w:p>
        </w:tc>
        <w:tc>
          <w:tcPr>
            <w:tcW w:w="738"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尚未审结</w:t>
            </w:r>
          </w:p>
        </w:tc>
        <w:tc>
          <w:tcPr>
            <w:tcW w:w="553"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总计</w:t>
            </w:r>
          </w:p>
        </w:tc>
        <w:tc>
          <w:tcPr>
            <w:tcW w:w="2459" w:type="dxa"/>
            <w:gridSpan w:val="5"/>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color w:val="333333"/>
                <w:sz w:val="20"/>
                <w:szCs w:val="20"/>
              </w:rPr>
              <w:t>未经复议直接起诉</w:t>
            </w:r>
          </w:p>
        </w:tc>
        <w:tc>
          <w:tcPr>
            <w:tcW w:w="2930" w:type="dxa"/>
            <w:gridSpan w:val="5"/>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812"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ascii="宋体" w:hAnsi="宋体" w:cs="宋体"/>
                <w:color w:val="333333"/>
                <w:kern w:val="0"/>
                <w:sz w:val="24"/>
              </w:rPr>
            </w:pPr>
          </w:p>
        </w:tc>
        <w:tc>
          <w:tcPr>
            <w:tcW w:w="529" w:type="dxa"/>
            <w:vMerge w:val="continue"/>
            <w:tcBorders>
              <w:top w:val="nil"/>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ascii="宋体" w:hAnsi="宋体" w:cs="宋体"/>
                <w:color w:val="333333"/>
                <w:kern w:val="0"/>
                <w:sz w:val="24"/>
              </w:rPr>
            </w:pPr>
          </w:p>
        </w:tc>
        <w:tc>
          <w:tcPr>
            <w:tcW w:w="499"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ascii="宋体" w:hAnsi="宋体" w:cs="宋体"/>
                <w:color w:val="333333"/>
                <w:kern w:val="0"/>
                <w:sz w:val="24"/>
              </w:rPr>
            </w:pPr>
          </w:p>
        </w:tc>
        <w:tc>
          <w:tcPr>
            <w:tcW w:w="738"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ascii="宋体" w:hAnsi="宋体" w:cs="宋体"/>
                <w:color w:val="333333"/>
                <w:kern w:val="0"/>
                <w:sz w:val="24"/>
              </w:rPr>
            </w:pPr>
          </w:p>
        </w:tc>
        <w:tc>
          <w:tcPr>
            <w:tcW w:w="553"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ascii="宋体" w:hAnsi="宋体" w:cs="宋体"/>
                <w:color w:val="333333"/>
                <w:kern w:val="0"/>
                <w:sz w:val="24"/>
              </w:rPr>
            </w:pPr>
          </w:p>
        </w:tc>
        <w:tc>
          <w:tcPr>
            <w:tcW w:w="45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结果维持</w:t>
            </w:r>
          </w:p>
        </w:tc>
        <w:tc>
          <w:tcPr>
            <w:tcW w:w="5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结果纠正</w:t>
            </w:r>
          </w:p>
        </w:tc>
        <w:tc>
          <w:tcPr>
            <w:tcW w:w="5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其他结果</w:t>
            </w:r>
          </w:p>
        </w:tc>
        <w:tc>
          <w:tcPr>
            <w:tcW w:w="5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尚未审结</w:t>
            </w:r>
          </w:p>
        </w:tc>
        <w:tc>
          <w:tcPr>
            <w:tcW w:w="50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总计</w:t>
            </w:r>
          </w:p>
        </w:tc>
        <w:tc>
          <w:tcPr>
            <w:tcW w:w="5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结果维持</w:t>
            </w:r>
          </w:p>
        </w:tc>
        <w:tc>
          <w:tcPr>
            <w:tcW w:w="5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结果纠正</w:t>
            </w:r>
          </w:p>
        </w:tc>
        <w:tc>
          <w:tcPr>
            <w:tcW w:w="50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其他结果</w:t>
            </w:r>
          </w:p>
        </w:tc>
        <w:tc>
          <w:tcPr>
            <w:tcW w:w="50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尚未审结</w:t>
            </w:r>
          </w:p>
        </w:tc>
        <w:tc>
          <w:tcPr>
            <w:tcW w:w="92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tcBorders>
              <w:top w:val="single" w:color="auto" w:sz="4" w:space="0"/>
              <w:left w:val="single" w:color="auto" w:sz="4" w:space="0"/>
              <w:bottom w:val="single" w:color="auto" w:sz="4" w:space="0"/>
              <w:right w:val="single" w:color="auto" w:sz="4" w:space="0"/>
            </w:tcBorders>
            <w:noWrap w:val="0"/>
            <w:tcFitText/>
            <w:vAlign w:val="center"/>
          </w:tcPr>
          <w:p>
            <w:pPr>
              <w:widowControl/>
              <w:adjustRightInd w:val="0"/>
              <w:snapToGrid w:val="0"/>
              <w:spacing w:line="360" w:lineRule="auto"/>
              <w:jc w:val="center"/>
              <w:rPr>
                <w:rFonts w:hint="default" w:ascii="Calibri" w:hAnsi="Calibri" w:cs="Calibri"/>
                <w:color w:val="333333"/>
                <w:kern w:val="0"/>
                <w:sz w:val="20"/>
                <w:szCs w:val="20"/>
              </w:rPr>
            </w:pPr>
            <w:r>
              <w:rPr>
                <w:rFonts w:hint="default" w:ascii="Calibri" w:hAnsi="Calibri" w:cs="Calibri"/>
                <w:color w:val="333333"/>
                <w:kern w:val="0"/>
                <w:sz w:val="20"/>
                <w:szCs w:val="20"/>
              </w:rPr>
              <w:t>0</w:t>
            </w:r>
          </w:p>
        </w:tc>
        <w:tc>
          <w:tcPr>
            <w:tcW w:w="529"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hint="default" w:ascii="Calibri" w:hAnsi="Calibri" w:cs="Calibri"/>
                <w:color w:val="333333"/>
                <w:kern w:val="0"/>
                <w:sz w:val="20"/>
                <w:szCs w:val="20"/>
              </w:rPr>
            </w:pPr>
            <w:r>
              <w:rPr>
                <w:rFonts w:hint="default" w:ascii="Calibri" w:hAnsi="Calibri" w:cs="Calibri"/>
                <w:color w:val="333333"/>
                <w:kern w:val="0"/>
                <w:sz w:val="20"/>
                <w:szCs w:val="20"/>
              </w:rPr>
              <w:t>0</w:t>
            </w:r>
          </w:p>
        </w:tc>
        <w:tc>
          <w:tcPr>
            <w:tcW w:w="499"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hint="default" w:ascii="Calibri" w:hAnsi="Calibri" w:cs="Calibri"/>
                <w:color w:val="333333"/>
                <w:kern w:val="0"/>
                <w:sz w:val="20"/>
                <w:szCs w:val="20"/>
              </w:rPr>
            </w:pPr>
            <w:r>
              <w:rPr>
                <w:rFonts w:hint="default" w:ascii="Calibri" w:hAnsi="Calibri" w:cs="Calibri"/>
                <w:color w:val="333333"/>
                <w:kern w:val="0"/>
                <w:sz w:val="20"/>
                <w:szCs w:val="20"/>
              </w:rPr>
              <w:t>0</w:t>
            </w:r>
          </w:p>
        </w:tc>
        <w:tc>
          <w:tcPr>
            <w:tcW w:w="738"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ind w:firstLine="400" w:firstLineChars="200"/>
              <w:jc w:val="center"/>
              <w:rPr>
                <w:rFonts w:hint="default" w:ascii="Calibri" w:hAnsi="Calibri" w:cs="Calibri"/>
                <w:color w:val="333333"/>
                <w:kern w:val="0"/>
                <w:sz w:val="20"/>
                <w:szCs w:val="20"/>
              </w:rPr>
            </w:pPr>
            <w:r>
              <w:rPr>
                <w:rFonts w:hint="default" w:ascii="Calibri" w:hAnsi="Calibri" w:cs="Calibri"/>
                <w:color w:val="333333"/>
                <w:kern w:val="0"/>
                <w:sz w:val="20"/>
                <w:szCs w:val="20"/>
              </w:rPr>
              <w:t>0</w:t>
            </w:r>
          </w:p>
        </w:tc>
        <w:tc>
          <w:tcPr>
            <w:tcW w:w="553"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hint="default" w:ascii="Calibri" w:hAnsi="Calibri" w:cs="Calibri"/>
                <w:color w:val="333333"/>
                <w:kern w:val="0"/>
                <w:sz w:val="20"/>
                <w:szCs w:val="20"/>
              </w:rPr>
            </w:pPr>
            <w:r>
              <w:rPr>
                <w:rFonts w:hint="default" w:ascii="Calibri" w:hAnsi="Calibri" w:cs="Calibri"/>
                <w:color w:val="333333"/>
                <w:kern w:val="0"/>
                <w:sz w:val="20"/>
                <w:szCs w:val="20"/>
              </w:rPr>
              <w:t>0</w:t>
            </w:r>
          </w:p>
        </w:tc>
        <w:tc>
          <w:tcPr>
            <w:tcW w:w="453"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hint="default" w:ascii="Calibri" w:hAnsi="Calibri" w:cs="Calibri"/>
                <w:color w:val="333333"/>
                <w:kern w:val="0"/>
                <w:sz w:val="20"/>
                <w:szCs w:val="20"/>
              </w:rPr>
            </w:pPr>
            <w:r>
              <w:rPr>
                <w:rFonts w:hint="default" w:ascii="Calibri" w:hAnsi="Calibri" w:cs="Calibri"/>
                <w:color w:val="333333"/>
                <w:kern w:val="0"/>
                <w:sz w:val="20"/>
                <w:szCs w:val="20"/>
              </w:rPr>
              <w:t>0</w:t>
            </w:r>
          </w:p>
        </w:tc>
        <w:tc>
          <w:tcPr>
            <w:tcW w:w="500"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hint="default" w:ascii="Calibri" w:hAnsi="Calibri" w:cs="Calibri"/>
                <w:color w:val="333333"/>
                <w:spacing w:val="0"/>
                <w:kern w:val="0"/>
                <w:sz w:val="20"/>
                <w:szCs w:val="20"/>
                <w:lang w:val="en-US" w:eastAsia="zh-CN"/>
              </w:rPr>
            </w:pPr>
            <w:r>
              <w:rPr>
                <w:rFonts w:hint="eastAsia" w:cs="Calibri"/>
                <w:color w:val="333333"/>
                <w:spacing w:val="0"/>
                <w:kern w:val="0"/>
                <w:sz w:val="20"/>
                <w:szCs w:val="20"/>
                <w:lang w:val="en-US" w:eastAsia="zh-CN"/>
              </w:rPr>
              <w:t>0</w:t>
            </w:r>
          </w:p>
        </w:tc>
        <w:tc>
          <w:tcPr>
            <w:tcW w:w="500"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hint="default" w:ascii="Calibri" w:hAnsi="Calibri" w:cs="Calibri"/>
                <w:color w:val="333333"/>
                <w:kern w:val="0"/>
                <w:sz w:val="20"/>
                <w:szCs w:val="20"/>
                <w:lang w:val="en-US" w:eastAsia="zh-CN"/>
              </w:rPr>
            </w:pPr>
            <w:r>
              <w:rPr>
                <w:rFonts w:hint="eastAsia" w:ascii="Calibri" w:hAnsi="Calibri" w:cs="Calibri"/>
                <w:color w:val="333333"/>
                <w:kern w:val="0"/>
                <w:sz w:val="20"/>
                <w:szCs w:val="20"/>
                <w:lang w:val="en-US" w:eastAsia="zh-CN"/>
              </w:rPr>
              <w:t>0</w:t>
            </w:r>
          </w:p>
        </w:tc>
        <w:tc>
          <w:tcPr>
            <w:tcW w:w="500"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hint="default" w:ascii="Calibri" w:hAnsi="Calibri" w:eastAsia="宋体" w:cs="Calibri"/>
                <w:color w:val="333333"/>
                <w:spacing w:val="0"/>
                <w:kern w:val="0"/>
                <w:sz w:val="20"/>
                <w:szCs w:val="20"/>
                <w:lang w:val="en-US" w:eastAsia="zh-CN"/>
              </w:rPr>
            </w:pPr>
            <w:r>
              <w:rPr>
                <w:rFonts w:hint="default" w:ascii="Calibri" w:hAnsi="Calibri" w:cs="Calibri"/>
                <w:color w:val="333333"/>
                <w:kern w:val="0"/>
                <w:sz w:val="20"/>
                <w:szCs w:val="20"/>
              </w:rPr>
              <w:t>0</w:t>
            </w:r>
          </w:p>
        </w:tc>
        <w:tc>
          <w:tcPr>
            <w:tcW w:w="506"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hint="default" w:ascii="Calibri" w:hAnsi="Calibri" w:eastAsia="宋体" w:cs="Calibri"/>
                <w:color w:val="333333"/>
                <w:kern w:val="0"/>
                <w:sz w:val="20"/>
                <w:szCs w:val="20"/>
                <w:lang w:val="en-US" w:eastAsia="zh-CN"/>
              </w:rPr>
            </w:pPr>
            <w:r>
              <w:rPr>
                <w:rFonts w:hint="default" w:ascii="Calibri" w:hAnsi="Calibri" w:cs="Calibri"/>
                <w:color w:val="333333"/>
                <w:kern w:val="0"/>
                <w:sz w:val="20"/>
                <w:szCs w:val="20"/>
                <w:lang w:val="en-US" w:eastAsia="zh-CN"/>
              </w:rPr>
              <w:t>0</w:t>
            </w:r>
          </w:p>
        </w:tc>
        <w:tc>
          <w:tcPr>
            <w:tcW w:w="500"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both"/>
              <w:rPr>
                <w:rFonts w:hint="default" w:ascii="Calibri" w:hAnsi="Calibri" w:eastAsia="宋体" w:cs="Calibri"/>
                <w:color w:val="333333"/>
                <w:spacing w:val="0"/>
                <w:kern w:val="0"/>
                <w:sz w:val="20"/>
                <w:szCs w:val="20"/>
                <w:lang w:val="en-US" w:eastAsia="zh-CN"/>
              </w:rPr>
            </w:pPr>
            <w:r>
              <w:rPr>
                <w:rFonts w:hint="eastAsia" w:cs="Calibri"/>
                <w:color w:val="333333"/>
                <w:spacing w:val="0"/>
                <w:kern w:val="0"/>
                <w:sz w:val="20"/>
                <w:szCs w:val="20"/>
                <w:lang w:val="en-US" w:eastAsia="zh-CN"/>
              </w:rPr>
              <w:t>0</w:t>
            </w:r>
          </w:p>
        </w:tc>
        <w:tc>
          <w:tcPr>
            <w:tcW w:w="500"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both"/>
              <w:rPr>
                <w:rFonts w:hint="eastAsia" w:ascii="Calibri" w:hAnsi="Calibri" w:eastAsia="宋体" w:cs="Calibri"/>
                <w:color w:val="333333"/>
                <w:kern w:val="0"/>
                <w:sz w:val="20"/>
                <w:szCs w:val="20"/>
                <w:lang w:val="en-US" w:eastAsia="zh-CN"/>
              </w:rPr>
            </w:pPr>
            <w:r>
              <w:rPr>
                <w:rFonts w:hint="eastAsia" w:cs="Calibri"/>
                <w:color w:val="333333"/>
                <w:kern w:val="0"/>
                <w:sz w:val="20"/>
                <w:szCs w:val="20"/>
                <w:lang w:val="en-US" w:eastAsia="zh-CN"/>
              </w:rPr>
              <w:t>0</w:t>
            </w:r>
          </w:p>
        </w:tc>
        <w:tc>
          <w:tcPr>
            <w:tcW w:w="501"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both"/>
              <w:rPr>
                <w:rFonts w:hint="eastAsia" w:ascii="Calibri" w:hAnsi="Calibri" w:eastAsia="宋体" w:cs="Calibri"/>
                <w:color w:val="333333"/>
                <w:kern w:val="0"/>
                <w:sz w:val="20"/>
                <w:szCs w:val="20"/>
                <w:lang w:val="en-US" w:eastAsia="zh-CN"/>
              </w:rPr>
            </w:pPr>
            <w:r>
              <w:rPr>
                <w:rFonts w:hint="eastAsia" w:cs="Calibri"/>
                <w:color w:val="333333"/>
                <w:kern w:val="0"/>
                <w:sz w:val="20"/>
                <w:szCs w:val="20"/>
                <w:lang w:val="en-US" w:eastAsia="zh-CN"/>
              </w:rPr>
              <w:t>0</w:t>
            </w:r>
          </w:p>
        </w:tc>
        <w:tc>
          <w:tcPr>
            <w:tcW w:w="501"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both"/>
              <w:rPr>
                <w:rFonts w:hint="default" w:ascii="Calibri" w:hAnsi="Calibri" w:eastAsia="宋体" w:cs="Calibri"/>
                <w:color w:val="333333"/>
                <w:kern w:val="0"/>
                <w:sz w:val="20"/>
                <w:szCs w:val="20"/>
                <w:lang w:val="en-US" w:eastAsia="zh-CN"/>
              </w:rPr>
            </w:pPr>
            <w:r>
              <w:rPr>
                <w:rFonts w:hint="default" w:ascii="Calibri" w:hAnsi="Calibri" w:cs="Calibri"/>
                <w:color w:val="333333"/>
                <w:kern w:val="0"/>
                <w:sz w:val="20"/>
                <w:szCs w:val="20"/>
                <w:lang w:val="en-US" w:eastAsia="zh-CN"/>
              </w:rPr>
              <w:t>0</w:t>
            </w:r>
          </w:p>
        </w:tc>
        <w:tc>
          <w:tcPr>
            <w:tcW w:w="928"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ind w:firstLine="400" w:firstLineChars="200"/>
              <w:jc w:val="center"/>
              <w:rPr>
                <w:rFonts w:hint="default" w:ascii="Calibri" w:hAnsi="Calibri" w:eastAsia="宋体" w:cs="Calibri"/>
                <w:color w:val="333333"/>
                <w:kern w:val="0"/>
                <w:sz w:val="20"/>
                <w:szCs w:val="20"/>
                <w:lang w:val="en-US" w:eastAsia="zh-CN"/>
              </w:rPr>
            </w:pPr>
            <w:r>
              <w:rPr>
                <w:rFonts w:hint="default" w:ascii="Calibri" w:hAnsi="Calibri" w:cs="Calibri"/>
                <w:color w:val="333333"/>
                <w:kern w:val="0"/>
                <w:sz w:val="20"/>
                <w:szCs w:val="20"/>
                <w:lang w:val="en-US" w:eastAsia="zh-CN"/>
              </w:rPr>
              <w:t>0</w:t>
            </w:r>
          </w:p>
        </w:tc>
      </w:tr>
    </w:tbl>
    <w:p>
      <w:pPr>
        <w:numPr>
          <w:ilvl w:val="0"/>
          <w:numId w:val="0"/>
        </w:numPr>
        <w:ind w:firstLine="640" w:firstLineChars="200"/>
        <w:rPr>
          <w:rFonts w:hint="eastAsia" w:ascii="仿宋" w:hAnsi="仿宋" w:eastAsia="仿宋" w:cs="仿宋"/>
          <w:sz w:val="32"/>
          <w:szCs w:val="32"/>
        </w:rPr>
      </w:pPr>
    </w:p>
    <w:p>
      <w:pPr>
        <w:numPr>
          <w:ilvl w:val="0"/>
          <w:numId w:val="0"/>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存在的主要问题和改进措施</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2023年，我局政府信息公开工作取得了新的进展，但仍存在政府信息公开保障能力待提高，政府信息公开的内容和方式还需进一步扩展充实，公开的长效机制有待进一步完善等问题。</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下一步，五台县交通运输局将加强对信息公开相关政策的学习，进一步组织学习《中华人民共和国政府信息公开条例》等法规，对照条例，认真清理政务公开事项，查漏补缺。进一步深化政府信息公开的内容，创新政府信息公开的方式方法。结合工作实际，在公开的范围、内容、形式、渠道上加强探索。拓展交通运输数据发布内容，主动及时科学解读，积极回应社会公众关切，提高公开质量，确保相关工作落到实处。</w:t>
      </w:r>
    </w:p>
    <w:p>
      <w:pPr>
        <w:numPr>
          <w:ilvl w:val="0"/>
          <w:numId w:val="0"/>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其他需要报告的事项</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暂无其他需要报告的事项。</w:t>
      </w:r>
    </w:p>
    <w:p>
      <w:pPr>
        <w:numPr>
          <w:ilvl w:val="0"/>
          <w:numId w:val="0"/>
        </w:numPr>
        <w:ind w:firstLine="640" w:firstLineChars="200"/>
        <w:rPr>
          <w:rFonts w:hint="eastAsia" w:ascii="仿宋" w:hAnsi="仿宋" w:eastAsia="仿宋" w:cs="仿宋"/>
          <w:sz w:val="32"/>
          <w:szCs w:val="32"/>
        </w:rPr>
      </w:pPr>
    </w:p>
    <w:p>
      <w:pPr>
        <w:numPr>
          <w:ilvl w:val="0"/>
          <w:numId w:val="0"/>
        </w:numPr>
        <w:ind w:firstLine="640" w:firstLineChars="200"/>
        <w:rPr>
          <w:rFonts w:hint="eastAsia" w:ascii="仿宋" w:hAnsi="仿宋" w:eastAsia="仿宋" w:cs="仿宋"/>
          <w:sz w:val="32"/>
          <w:szCs w:val="32"/>
        </w:rPr>
      </w:pPr>
    </w:p>
    <w:p>
      <w:pPr>
        <w:numPr>
          <w:ilvl w:val="0"/>
          <w:numId w:val="0"/>
        </w:numPr>
        <w:ind w:firstLine="640" w:firstLineChars="200"/>
        <w:rPr>
          <w:rFonts w:hint="eastAsia" w:ascii="仿宋" w:hAnsi="仿宋" w:eastAsia="仿宋" w:cs="仿宋"/>
          <w:sz w:val="32"/>
          <w:szCs w:val="32"/>
        </w:rPr>
      </w:pPr>
    </w:p>
    <w:p>
      <w:pPr>
        <w:numPr>
          <w:ilvl w:val="0"/>
          <w:numId w:val="0"/>
        </w:numPr>
        <w:ind w:firstLine="4800" w:firstLineChars="1500"/>
        <w:rPr>
          <w:rFonts w:hint="eastAsia" w:ascii="仿宋" w:hAnsi="仿宋" w:eastAsia="仿宋" w:cs="仿宋"/>
          <w:sz w:val="32"/>
          <w:szCs w:val="32"/>
          <w:lang w:eastAsia="zh-CN"/>
        </w:rPr>
      </w:pPr>
      <w:r>
        <w:rPr>
          <w:rFonts w:hint="eastAsia" w:ascii="仿宋" w:hAnsi="仿宋" w:eastAsia="仿宋" w:cs="仿宋"/>
          <w:sz w:val="32"/>
          <w:szCs w:val="32"/>
          <w:lang w:eastAsia="zh-CN"/>
        </w:rPr>
        <w:t>五台县交通运输局</w:t>
      </w:r>
    </w:p>
    <w:p>
      <w:pPr>
        <w:numPr>
          <w:ilvl w:val="0"/>
          <w:numId w:val="0"/>
        </w:numPr>
        <w:ind w:firstLine="4800" w:firstLineChars="15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2023年12月30日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389BD"/>
    <w:multiLevelType w:val="singleLevel"/>
    <w:tmpl w:val="97B389BD"/>
    <w:lvl w:ilvl="0" w:tentative="0">
      <w:start w:val="1"/>
      <w:numFmt w:val="chineseCounting"/>
      <w:suff w:val="nothing"/>
      <w:lvlText w:val="%1、"/>
      <w:lvlJc w:val="left"/>
      <w:rPr>
        <w:rFonts w:hint="eastAsia"/>
      </w:rPr>
    </w:lvl>
  </w:abstractNum>
  <w:abstractNum w:abstractNumId="1">
    <w:nsid w:val="68D4648B"/>
    <w:multiLevelType w:val="singleLevel"/>
    <w:tmpl w:val="68D4648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hOTRlNzg4OTQ1MTIzZWI5NjQ2N2QzYzk1MmFiYWUifQ=="/>
  </w:docVars>
  <w:rsids>
    <w:rsidRoot w:val="7A785B69"/>
    <w:rsid w:val="07E919A2"/>
    <w:rsid w:val="5ACB3E0D"/>
    <w:rsid w:val="6D0A2909"/>
    <w:rsid w:val="7A785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2024-01-04T07:44:00Z</dcterms:created>
  <dc:creator>Administrator</dc:creator>
  <cp:lastModifiedBy>Administrator</cp:lastModifiedBy>
  <dcterms:modified xsi:type="dcterms:W3CDTF">2024-01-04T08:04:30Z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DFAA9487AA134FE2BEC52B05BFBFDC74_13</vt:lpwstr>
  </property>
</Properties>
</file>