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9"/>
          <w:tab w:val="center" w:pos="4213"/>
        </w:tabs>
        <w:jc w:val="left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ab/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ab/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五台县统计局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2023年政府信息公开工作年度报告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根据县政府政府信息公开相关要求，现将我局202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我局严格按照上级的统一部署，认真落实政府信息公开工作要点，2023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年以来我局坚持以“公开为常态、不公开为例外”，围绕“强化监督保障、聚焦重点环节、围绕重点领域、落实重点任务、紧盯目标任务”等，加大主动公开的力度，丰富主动公开的途径，积极打造阳光政务，扎实推进主动公开政府信息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  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  <w:t>政府信息公开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存在的主要问题和改进措施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我局政府信息公开工作虽进步明显，但还存在以下问题：一是信息发布解读的深度广度仍需提升；二是应主动公开的政府信息时效性还有待加强。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下一步，我局将按照各级政务公开工作要求，重点做好以下政府信息公开工作：一是提高全体干部职工政府信息公开意识，加强对主要经济数据的解读，尤其是涉及人民群众切身利益、民生热点等方面信息解读的力度；二是通过开展政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信息公开相关培训工作，不断提高各股室主动公开政府信息的时效性；三是不断完善网站建设，优化智能检索系统，便于公众查找数据。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暂无其他事项。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320" w:firstLineChars="1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   五台县统计局</w:t>
      </w:r>
    </w:p>
    <w:p>
      <w:pPr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2023年12月25日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FE876"/>
    <w:multiLevelType w:val="singleLevel"/>
    <w:tmpl w:val="66AFE8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7E902959"/>
    <w:rsid w:val="40DB12D2"/>
    <w:rsid w:val="49102CE5"/>
    <w:rsid w:val="60C55AF8"/>
    <w:rsid w:val="7E9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80" w:lineRule="exact"/>
      <w:jc w:val="center"/>
      <w:outlineLvl w:val="0"/>
    </w:pPr>
    <w:rPr>
      <w:rFonts w:ascii="Calibri" w:hAnsi="Calibri" w:eastAsia="黑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2023-12-25T07:25:00Z</dcterms:created>
  <dc:creator>善良温柔了琐碎</dc:creator>
  <cp:lastModifiedBy>Administrator</cp:lastModifiedBy>
  <cp:lastPrinted>2023-12-25T07:40:00Z</cp:lastPrinted>
  <dcterms:modified xsi:type="dcterms:W3CDTF">2024-01-11T09:37:36Z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4E55B451BD464F9BA51EFEA12D526EA2_11</vt:lpwstr>
  </property>
</Properties>
</file>